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287BA" w14:textId="77777777" w:rsidR="00FA1A7C" w:rsidRPr="00287574" w:rsidRDefault="00FA1A7C" w:rsidP="00FA1A7C">
      <w:pPr>
        <w:rPr>
          <w:rFonts w:cs="Arial"/>
          <w:b/>
          <w:color w:val="auto"/>
          <w:sz w:val="32"/>
        </w:rPr>
      </w:pPr>
      <w:bookmarkStart w:id="0" w:name="_Hlk22797893"/>
      <w:bookmarkEnd w:id="0"/>
    </w:p>
    <w:p w14:paraId="10DDB92C" w14:textId="77777777" w:rsidR="00FA1A7C" w:rsidRPr="00287574" w:rsidRDefault="00FA1A7C" w:rsidP="00FA1A7C">
      <w:pPr>
        <w:rPr>
          <w:rFonts w:cs="Arial"/>
          <w:color w:val="auto"/>
        </w:rPr>
      </w:pPr>
    </w:p>
    <w:p w14:paraId="25159538" w14:textId="77777777" w:rsidR="00FA1A7C" w:rsidRPr="00287574" w:rsidRDefault="00FA1A7C" w:rsidP="00FA1A7C">
      <w:pPr>
        <w:rPr>
          <w:rFonts w:cs="Arial"/>
          <w:color w:val="auto"/>
        </w:rPr>
      </w:pPr>
    </w:p>
    <w:p w14:paraId="4BC81B3C" w14:textId="5AFFA4CA" w:rsidR="00FA1A7C" w:rsidRPr="000150BE" w:rsidRDefault="00CF7C5D" w:rsidP="00334846">
      <w:pPr>
        <w:pStyle w:val="Titre"/>
      </w:pPr>
      <w:r w:rsidRPr="000150BE">
        <w:t>Électromobilité :</w:t>
      </w:r>
      <w:bookmarkStart w:id="1" w:name="_Hlk22797781"/>
      <w:r w:rsidR="000150BE">
        <w:br/>
      </w:r>
      <w:r w:rsidRPr="000150BE">
        <w:t>bases de planification de</w:t>
      </w:r>
      <w:r w:rsidRPr="000150BE">
        <w:br/>
        <w:t>l'infrastructure de recharge pour</w:t>
      </w:r>
      <w:r w:rsidRPr="000150BE">
        <w:br/>
        <w:t xml:space="preserve">les </w:t>
      </w:r>
      <w:r w:rsidR="00EF7C74" w:rsidRPr="000150BE">
        <w:t xml:space="preserve">bâtiments </w:t>
      </w:r>
      <w:r w:rsidRPr="000150BE">
        <w:t>résidentiels et</w:t>
      </w:r>
      <w:r w:rsidRPr="000150BE">
        <w:br/>
        <w:t>fonctionnels</w:t>
      </w:r>
    </w:p>
    <w:bookmarkEnd w:id="1"/>
    <w:p w14:paraId="56C9B612" w14:textId="77777777" w:rsidR="00FA1A7C" w:rsidRPr="00287574" w:rsidRDefault="00FA1A7C" w:rsidP="00FA1A7C">
      <w:pPr>
        <w:rPr>
          <w:rFonts w:cs="Arial"/>
          <w:color w:val="auto"/>
        </w:rPr>
      </w:pPr>
    </w:p>
    <w:p w14:paraId="1974EF55" w14:textId="21F49010" w:rsidR="00FA1A7C" w:rsidRPr="00287574" w:rsidRDefault="00FA1A7C" w:rsidP="00FA1A7C">
      <w:pPr>
        <w:rPr>
          <w:rFonts w:cs="Arial"/>
          <w:color w:val="auto"/>
        </w:rPr>
      </w:pPr>
    </w:p>
    <w:p w14:paraId="3E477F18" w14:textId="3D2EF536" w:rsidR="00CF7C5D" w:rsidRPr="00287574" w:rsidRDefault="00CF7C5D" w:rsidP="00FA1A7C">
      <w:pPr>
        <w:rPr>
          <w:rFonts w:cs="Arial"/>
          <w:b/>
          <w:bCs/>
          <w:color w:val="auto"/>
          <w:sz w:val="32"/>
          <w:szCs w:val="32"/>
        </w:rPr>
      </w:pPr>
      <w:r w:rsidRPr="00287574">
        <w:rPr>
          <w:b/>
          <w:bCs/>
          <w:color w:val="auto"/>
          <w:sz w:val="32"/>
          <w:szCs w:val="32"/>
        </w:rPr>
        <w:t>Outil de travail dédié aux experts</w:t>
      </w:r>
    </w:p>
    <w:p w14:paraId="4D81F959" w14:textId="124DF31F" w:rsidR="0043121E" w:rsidRPr="00287574" w:rsidRDefault="0043121E" w:rsidP="00FA1A7C">
      <w:pPr>
        <w:rPr>
          <w:rFonts w:cs="Arial"/>
          <w:color w:val="auto"/>
          <w:sz w:val="24"/>
        </w:rPr>
      </w:pPr>
      <w:r w:rsidRPr="00287574">
        <w:rPr>
          <w:color w:val="auto"/>
          <w:sz w:val="24"/>
        </w:rPr>
        <w:t>Version : a</w:t>
      </w:r>
      <w:r w:rsidR="009D60E7">
        <w:rPr>
          <w:color w:val="auto"/>
          <w:sz w:val="24"/>
        </w:rPr>
        <w:t>oût</w:t>
      </w:r>
      <w:r w:rsidRPr="00287574">
        <w:rPr>
          <w:color w:val="auto"/>
          <w:sz w:val="24"/>
        </w:rPr>
        <w:t xml:space="preserve"> 2020</w:t>
      </w:r>
    </w:p>
    <w:p w14:paraId="707559AD" w14:textId="1B0EF5E1" w:rsidR="0043121E" w:rsidRPr="00287574" w:rsidRDefault="0043121E" w:rsidP="00FA1A7C">
      <w:pPr>
        <w:rPr>
          <w:rFonts w:cs="Arial"/>
          <w:color w:val="auto"/>
          <w:sz w:val="36"/>
          <w:szCs w:val="40"/>
        </w:rPr>
      </w:pPr>
    </w:p>
    <w:p w14:paraId="27FB6FAA" w14:textId="77777777" w:rsidR="005D6301" w:rsidRPr="00287574" w:rsidRDefault="005D6301" w:rsidP="00FA1A7C">
      <w:pPr>
        <w:rPr>
          <w:rFonts w:cs="Arial"/>
          <w:color w:val="auto"/>
          <w:sz w:val="36"/>
          <w:szCs w:val="40"/>
        </w:rPr>
      </w:pPr>
    </w:p>
    <w:p w14:paraId="5D467516" w14:textId="77777777" w:rsidR="002A5C35" w:rsidRPr="00287574" w:rsidRDefault="002A5C35" w:rsidP="00FA1A7C">
      <w:pPr>
        <w:rPr>
          <w:rFonts w:cs="Arial"/>
          <w:color w:val="auto"/>
          <w:sz w:val="36"/>
          <w:szCs w:val="40"/>
        </w:rPr>
      </w:pPr>
    </w:p>
    <w:p w14:paraId="12E5B92B" w14:textId="783FE5BF" w:rsidR="0043121E" w:rsidRPr="00287574" w:rsidRDefault="0043121E" w:rsidP="0043121E">
      <w:pPr>
        <w:jc w:val="left"/>
        <w:rPr>
          <w:rFonts w:cs="Arial"/>
          <w:color w:val="auto"/>
          <w:sz w:val="24"/>
        </w:rPr>
      </w:pPr>
      <w:r w:rsidRPr="00287574">
        <w:rPr>
          <w:color w:val="auto"/>
          <w:sz w:val="24"/>
        </w:rPr>
        <w:t>Partenaires associés au développement</w:t>
      </w:r>
      <w:r w:rsidRPr="00287574">
        <w:rPr>
          <w:color w:val="auto"/>
          <w:sz w:val="24"/>
        </w:rPr>
        <w:br/>
        <w:t>de cette aide à la planification :</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0"/>
        <w:gridCol w:w="1814"/>
        <w:gridCol w:w="1814"/>
      </w:tblGrid>
      <w:tr w:rsidR="00674E6B" w:rsidRPr="00287574" w14:paraId="48D9EE8D" w14:textId="77777777" w:rsidTr="005D6301">
        <w:trPr>
          <w:trHeight w:val="1134"/>
        </w:trPr>
        <w:tc>
          <w:tcPr>
            <w:tcW w:w="1730" w:type="dxa"/>
          </w:tcPr>
          <w:p w14:paraId="01996555" w14:textId="1848D7D9" w:rsidR="00AA540F" w:rsidRPr="00287574" w:rsidRDefault="00AA540F" w:rsidP="00AA540F">
            <w:pPr>
              <w:rPr>
                <w:rFonts w:cs="Arial"/>
                <w:color w:val="auto"/>
                <w:sz w:val="24"/>
              </w:rPr>
            </w:pPr>
            <w:r w:rsidRPr="00287574">
              <w:rPr>
                <w:noProof/>
                <w:color w:val="auto"/>
                <w:sz w:val="24"/>
                <w:lang w:eastAsia="en-US"/>
              </w:rPr>
              <w:drawing>
                <wp:anchor distT="0" distB="0" distL="114300" distR="114300" simplePos="0" relativeHeight="251671552" behindDoc="1" locked="0" layoutInCell="1" allowOverlap="1" wp14:anchorId="3D8D5927" wp14:editId="53DC013F">
                  <wp:simplePos x="0" y="0"/>
                  <wp:positionH relativeFrom="column">
                    <wp:posOffset>13335</wp:posOffset>
                  </wp:positionH>
                  <wp:positionV relativeFrom="paragraph">
                    <wp:posOffset>176057</wp:posOffset>
                  </wp:positionV>
                  <wp:extent cx="1009650" cy="388620"/>
                  <wp:effectExtent l="0" t="0" r="635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_OAI_oran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09650" cy="388620"/>
                          </a:xfrm>
                          <a:prstGeom prst="rect">
                            <a:avLst/>
                          </a:prstGeom>
                        </pic:spPr>
                      </pic:pic>
                    </a:graphicData>
                  </a:graphic>
                  <wp14:sizeRelH relativeFrom="page">
                    <wp14:pctWidth>0</wp14:pctWidth>
                  </wp14:sizeRelH>
                  <wp14:sizeRelV relativeFrom="page">
                    <wp14:pctHeight>0</wp14:pctHeight>
                  </wp14:sizeRelV>
                </wp:anchor>
              </w:drawing>
            </w:r>
          </w:p>
        </w:tc>
        <w:tc>
          <w:tcPr>
            <w:tcW w:w="1814" w:type="dxa"/>
          </w:tcPr>
          <w:p w14:paraId="74D12240" w14:textId="512791C8" w:rsidR="00AA540F" w:rsidRPr="00287574" w:rsidRDefault="00674E6B" w:rsidP="005D6301">
            <w:pPr>
              <w:rPr>
                <w:rFonts w:cs="Arial"/>
                <w:color w:val="auto"/>
                <w:sz w:val="24"/>
              </w:rPr>
            </w:pPr>
            <w:r w:rsidRPr="00287574">
              <w:rPr>
                <w:noProof/>
                <w:color w:val="auto"/>
                <w:sz w:val="24"/>
                <w:lang w:eastAsia="en-US"/>
              </w:rPr>
              <w:drawing>
                <wp:anchor distT="0" distB="0" distL="114300" distR="114300" simplePos="0" relativeHeight="251672576" behindDoc="1" locked="0" layoutInCell="1" allowOverlap="1" wp14:anchorId="6E98FAAC" wp14:editId="3ABE2D02">
                  <wp:simplePos x="0" y="0"/>
                  <wp:positionH relativeFrom="column">
                    <wp:posOffset>19050</wp:posOffset>
                  </wp:positionH>
                  <wp:positionV relativeFrom="paragraph">
                    <wp:posOffset>80483</wp:posOffset>
                  </wp:positionV>
                  <wp:extent cx="965200" cy="5715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re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5200" cy="571500"/>
                          </a:xfrm>
                          <a:prstGeom prst="rect">
                            <a:avLst/>
                          </a:prstGeom>
                        </pic:spPr>
                      </pic:pic>
                    </a:graphicData>
                  </a:graphic>
                  <wp14:sizeRelH relativeFrom="page">
                    <wp14:pctWidth>0</wp14:pctWidth>
                  </wp14:sizeRelH>
                  <wp14:sizeRelV relativeFrom="page">
                    <wp14:pctHeight>0</wp14:pctHeight>
                  </wp14:sizeRelV>
                </wp:anchor>
              </w:drawing>
            </w:r>
          </w:p>
        </w:tc>
        <w:tc>
          <w:tcPr>
            <w:tcW w:w="1814" w:type="dxa"/>
          </w:tcPr>
          <w:p w14:paraId="161BF02F" w14:textId="73E20B3F" w:rsidR="00AA540F" w:rsidRPr="00287574" w:rsidRDefault="00674E6B" w:rsidP="005D6301">
            <w:pPr>
              <w:rPr>
                <w:rFonts w:cs="Arial"/>
                <w:color w:val="auto"/>
                <w:sz w:val="24"/>
              </w:rPr>
            </w:pPr>
            <w:r w:rsidRPr="00287574">
              <w:rPr>
                <w:noProof/>
                <w:color w:val="auto"/>
                <w:sz w:val="24"/>
                <w:lang w:eastAsia="en-US"/>
              </w:rPr>
              <w:drawing>
                <wp:anchor distT="0" distB="0" distL="114300" distR="114300" simplePos="0" relativeHeight="251673600" behindDoc="1" locked="0" layoutInCell="1" allowOverlap="1" wp14:anchorId="41D66766" wp14:editId="598A846F">
                  <wp:simplePos x="0" y="0"/>
                  <wp:positionH relativeFrom="column">
                    <wp:posOffset>185420</wp:posOffset>
                  </wp:positionH>
                  <wp:positionV relativeFrom="paragraph">
                    <wp:posOffset>102397</wp:posOffset>
                  </wp:positionV>
                  <wp:extent cx="572135" cy="54800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Logo Sudstrou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135" cy="548005"/>
                          </a:xfrm>
                          <a:prstGeom prst="rect">
                            <a:avLst/>
                          </a:prstGeom>
                        </pic:spPr>
                      </pic:pic>
                    </a:graphicData>
                  </a:graphic>
                  <wp14:sizeRelH relativeFrom="page">
                    <wp14:pctWidth>0</wp14:pctWidth>
                  </wp14:sizeRelH>
                  <wp14:sizeRelV relativeFrom="page">
                    <wp14:pctHeight>0</wp14:pctHeight>
                  </wp14:sizeRelV>
                </wp:anchor>
              </w:drawing>
            </w:r>
          </w:p>
        </w:tc>
      </w:tr>
      <w:tr w:rsidR="00674E6B" w:rsidRPr="00287574" w14:paraId="195DAAAF" w14:textId="77777777" w:rsidTr="005D6301">
        <w:trPr>
          <w:trHeight w:val="1134"/>
        </w:trPr>
        <w:tc>
          <w:tcPr>
            <w:tcW w:w="1730" w:type="dxa"/>
          </w:tcPr>
          <w:p w14:paraId="6BA168E4" w14:textId="76CAE356" w:rsidR="00AA540F" w:rsidRPr="00287574" w:rsidRDefault="00674E6B" w:rsidP="00AA540F">
            <w:pPr>
              <w:jc w:val="center"/>
              <w:rPr>
                <w:rFonts w:cs="Arial"/>
                <w:color w:val="auto"/>
                <w:sz w:val="24"/>
              </w:rPr>
            </w:pPr>
            <w:r w:rsidRPr="00287574">
              <w:rPr>
                <w:noProof/>
                <w:color w:val="auto"/>
                <w:sz w:val="24"/>
                <w:lang w:eastAsia="en-US"/>
              </w:rPr>
              <w:drawing>
                <wp:anchor distT="0" distB="0" distL="114300" distR="114300" simplePos="0" relativeHeight="251674624" behindDoc="1" locked="0" layoutInCell="1" allowOverlap="1" wp14:anchorId="32E0D070" wp14:editId="1198D0B8">
                  <wp:simplePos x="0" y="0"/>
                  <wp:positionH relativeFrom="column">
                    <wp:posOffset>12862</wp:posOffset>
                  </wp:positionH>
                  <wp:positionV relativeFrom="paragraph">
                    <wp:posOffset>118745</wp:posOffset>
                  </wp:positionV>
                  <wp:extent cx="955675" cy="38227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lectris_Logo_RESEA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5675" cy="382270"/>
                          </a:xfrm>
                          <a:prstGeom prst="rect">
                            <a:avLst/>
                          </a:prstGeom>
                        </pic:spPr>
                      </pic:pic>
                    </a:graphicData>
                  </a:graphic>
                  <wp14:sizeRelH relativeFrom="page">
                    <wp14:pctWidth>0</wp14:pctWidth>
                  </wp14:sizeRelH>
                  <wp14:sizeRelV relativeFrom="page">
                    <wp14:pctHeight>0</wp14:pctHeight>
                  </wp14:sizeRelV>
                </wp:anchor>
              </w:drawing>
            </w:r>
          </w:p>
        </w:tc>
        <w:tc>
          <w:tcPr>
            <w:tcW w:w="1814" w:type="dxa"/>
          </w:tcPr>
          <w:p w14:paraId="2A41F295" w14:textId="06882892" w:rsidR="00AA540F" w:rsidRPr="00287574" w:rsidRDefault="005D6301" w:rsidP="00AA540F">
            <w:pPr>
              <w:jc w:val="center"/>
              <w:rPr>
                <w:rFonts w:cs="Arial"/>
                <w:color w:val="auto"/>
                <w:sz w:val="24"/>
              </w:rPr>
            </w:pPr>
            <w:r w:rsidRPr="00287574">
              <w:rPr>
                <w:noProof/>
                <w:color w:val="auto"/>
                <w:sz w:val="24"/>
                <w:lang w:eastAsia="en-US"/>
              </w:rPr>
              <w:drawing>
                <wp:inline distT="0" distB="0" distL="0" distR="0" wp14:anchorId="30891E04" wp14:editId="2D867A4F">
                  <wp:extent cx="744220" cy="52514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ttelbruck.pd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6455" cy="526722"/>
                          </a:xfrm>
                          <a:prstGeom prst="rect">
                            <a:avLst/>
                          </a:prstGeom>
                        </pic:spPr>
                      </pic:pic>
                    </a:graphicData>
                  </a:graphic>
                </wp:inline>
              </w:drawing>
            </w:r>
          </w:p>
        </w:tc>
        <w:tc>
          <w:tcPr>
            <w:tcW w:w="1814" w:type="dxa"/>
          </w:tcPr>
          <w:p w14:paraId="3F040C6E" w14:textId="4A07A76A" w:rsidR="00AA540F" w:rsidRPr="00287574" w:rsidRDefault="00AA540F" w:rsidP="00AA540F">
            <w:pPr>
              <w:jc w:val="center"/>
              <w:rPr>
                <w:rFonts w:cs="Arial"/>
                <w:color w:val="auto"/>
                <w:sz w:val="24"/>
              </w:rPr>
            </w:pPr>
            <w:r w:rsidRPr="00287574">
              <w:rPr>
                <w:noProof/>
                <w:color w:val="auto"/>
                <w:sz w:val="24"/>
                <w:lang w:eastAsia="en-US"/>
              </w:rPr>
              <w:drawing>
                <wp:anchor distT="0" distB="0" distL="114300" distR="114300" simplePos="0" relativeHeight="251676672" behindDoc="1" locked="0" layoutInCell="1" allowOverlap="1" wp14:anchorId="696F6DFD" wp14:editId="64A0D43A">
                  <wp:simplePos x="0" y="0"/>
                  <wp:positionH relativeFrom="column">
                    <wp:posOffset>142875</wp:posOffset>
                  </wp:positionH>
                  <wp:positionV relativeFrom="paragraph">
                    <wp:posOffset>69215</wp:posOffset>
                  </wp:positionV>
                  <wp:extent cx="722630" cy="511175"/>
                  <wp:effectExtent l="0" t="0" r="127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 DIEKIRCH_CMY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2630" cy="511175"/>
                          </a:xfrm>
                          <a:prstGeom prst="rect">
                            <a:avLst/>
                          </a:prstGeom>
                        </pic:spPr>
                      </pic:pic>
                    </a:graphicData>
                  </a:graphic>
                  <wp14:sizeRelH relativeFrom="page">
                    <wp14:pctWidth>0</wp14:pctWidth>
                  </wp14:sizeRelH>
                  <wp14:sizeRelV relativeFrom="page">
                    <wp14:pctHeight>0</wp14:pctHeight>
                  </wp14:sizeRelV>
                </wp:anchor>
              </w:drawing>
            </w:r>
          </w:p>
        </w:tc>
      </w:tr>
    </w:tbl>
    <w:p w14:paraId="604E3CC9" w14:textId="77777777" w:rsidR="00D208D4" w:rsidRPr="00287574" w:rsidRDefault="00D208D4" w:rsidP="00FA1A7C">
      <w:pPr>
        <w:rPr>
          <w:rFonts w:cs="Arial"/>
          <w:b/>
          <w:color w:val="auto"/>
          <w:sz w:val="32"/>
        </w:rPr>
        <w:sectPr w:rsidR="00D208D4" w:rsidRPr="00287574" w:rsidSect="00FA1A7C">
          <w:headerReference w:type="even" r:id="rId14"/>
          <w:headerReference w:type="default" r:id="rId15"/>
          <w:footerReference w:type="even" r:id="rId16"/>
          <w:footerReference w:type="default" r:id="rId17"/>
          <w:headerReference w:type="first" r:id="rId18"/>
          <w:footerReference w:type="first" r:id="rId19"/>
          <w:pgSz w:w="11900" w:h="16840"/>
          <w:pgMar w:top="2552" w:right="1098" w:bottom="1417" w:left="1021" w:header="2552" w:footer="680" w:gutter="0"/>
          <w:cols w:space="708"/>
          <w:titlePg/>
        </w:sectPr>
      </w:pPr>
    </w:p>
    <w:sdt>
      <w:sdtPr>
        <w:id w:val="1274051219"/>
        <w:docPartObj>
          <w:docPartGallery w:val="Table of Contents"/>
          <w:docPartUnique/>
        </w:docPartObj>
      </w:sdtPr>
      <w:sdtEndPr>
        <w:rPr>
          <w:rFonts w:cs="Arial"/>
          <w:b w:val="0"/>
          <w:color w:val="auto"/>
          <w:sz w:val="22"/>
          <w:szCs w:val="24"/>
        </w:rPr>
      </w:sdtEndPr>
      <w:sdtContent>
        <w:p w14:paraId="71EE47E8" w14:textId="41609965" w:rsidR="00D76674" w:rsidRPr="00334846" w:rsidRDefault="00CF7C5D" w:rsidP="00334846">
          <w:pPr>
            <w:pStyle w:val="Titre"/>
          </w:pPr>
          <w:r w:rsidRPr="00334846">
            <w:t>Table des matières</w:t>
          </w:r>
        </w:p>
        <w:p w14:paraId="28554D0A" w14:textId="77777777" w:rsidR="00287574" w:rsidRPr="00287574" w:rsidRDefault="00D76674">
          <w:pPr>
            <w:pStyle w:val="TM1"/>
            <w:tabs>
              <w:tab w:val="left" w:pos="442"/>
            </w:tabs>
            <w:rPr>
              <w:rFonts w:asciiTheme="minorHAnsi" w:hAnsiTheme="minorHAnsi"/>
              <w:b w:val="0"/>
              <w:color w:val="auto"/>
              <w:sz w:val="22"/>
              <w:lang w:eastAsia="en-US"/>
            </w:rPr>
          </w:pPr>
          <w:r w:rsidRPr="00287574">
            <w:rPr>
              <w:rFonts w:eastAsiaTheme="majorEastAsia" w:cs="Arial"/>
              <w:color w:val="auto"/>
            </w:rPr>
            <w:fldChar w:fldCharType="begin"/>
          </w:r>
          <w:r w:rsidRPr="00287574">
            <w:rPr>
              <w:rFonts w:cs="Arial"/>
              <w:color w:val="auto"/>
            </w:rPr>
            <w:instrText xml:space="preserve"> TOC \o "1-3" \h \z \u </w:instrText>
          </w:r>
          <w:r w:rsidRPr="00287574">
            <w:rPr>
              <w:rFonts w:eastAsiaTheme="majorEastAsia" w:cs="Arial"/>
              <w:color w:val="auto"/>
            </w:rPr>
            <w:fldChar w:fldCharType="separate"/>
          </w:r>
          <w:hyperlink w:anchor="_Toc40432325" w:history="1">
            <w:r w:rsidR="00287574" w:rsidRPr="00287574">
              <w:rPr>
                <w:rStyle w:val="Lienhypertexte"/>
              </w:rPr>
              <w:t>1.</w:t>
            </w:r>
            <w:r w:rsidR="00287574" w:rsidRPr="00287574">
              <w:rPr>
                <w:rFonts w:asciiTheme="minorHAnsi" w:hAnsiTheme="minorHAnsi"/>
                <w:b w:val="0"/>
                <w:color w:val="auto"/>
                <w:sz w:val="22"/>
                <w:lang w:eastAsia="en-US"/>
              </w:rPr>
              <w:tab/>
            </w:r>
            <w:r w:rsidR="00287574" w:rsidRPr="00287574">
              <w:rPr>
                <w:rStyle w:val="Lienhypertexte"/>
              </w:rPr>
              <w:t>Présentation</w:t>
            </w:r>
            <w:r w:rsidR="00287574" w:rsidRPr="00287574">
              <w:rPr>
                <w:webHidden/>
              </w:rPr>
              <w:tab/>
            </w:r>
            <w:r w:rsidR="00287574" w:rsidRPr="00287574">
              <w:rPr>
                <w:webHidden/>
              </w:rPr>
              <w:fldChar w:fldCharType="begin"/>
            </w:r>
            <w:r w:rsidR="00287574" w:rsidRPr="00287574">
              <w:rPr>
                <w:webHidden/>
              </w:rPr>
              <w:instrText xml:space="preserve"> PAGEREF _Toc40432325 \h </w:instrText>
            </w:r>
            <w:r w:rsidR="00287574" w:rsidRPr="00287574">
              <w:rPr>
                <w:webHidden/>
              </w:rPr>
            </w:r>
            <w:r w:rsidR="00287574" w:rsidRPr="00287574">
              <w:rPr>
                <w:webHidden/>
              </w:rPr>
              <w:fldChar w:fldCharType="separate"/>
            </w:r>
            <w:r w:rsidR="00287574" w:rsidRPr="00287574">
              <w:rPr>
                <w:webHidden/>
              </w:rPr>
              <w:t>5</w:t>
            </w:r>
            <w:r w:rsidR="00287574" w:rsidRPr="00287574">
              <w:rPr>
                <w:webHidden/>
              </w:rPr>
              <w:fldChar w:fldCharType="end"/>
            </w:r>
          </w:hyperlink>
        </w:p>
        <w:p w14:paraId="6B794E6C" w14:textId="77777777" w:rsidR="00287574" w:rsidRPr="00287574" w:rsidRDefault="00CF7803">
          <w:pPr>
            <w:pStyle w:val="TM2"/>
            <w:rPr>
              <w:rFonts w:asciiTheme="minorHAnsi" w:hAnsiTheme="minorHAnsi"/>
              <w:b w:val="0"/>
              <w:color w:val="auto"/>
              <w:lang w:eastAsia="en-US"/>
            </w:rPr>
          </w:pPr>
          <w:hyperlink w:anchor="_Toc40432326" w:history="1">
            <w:r w:rsidR="00287574" w:rsidRPr="00287574">
              <w:rPr>
                <w:rStyle w:val="Lienhypertexte"/>
              </w:rPr>
              <w:t>1.1.</w:t>
            </w:r>
            <w:r w:rsidR="00287574" w:rsidRPr="00287574">
              <w:rPr>
                <w:rFonts w:asciiTheme="minorHAnsi" w:hAnsiTheme="minorHAnsi"/>
                <w:b w:val="0"/>
                <w:color w:val="auto"/>
                <w:lang w:eastAsia="en-US"/>
              </w:rPr>
              <w:tab/>
            </w:r>
            <w:r w:rsidR="00287574" w:rsidRPr="00287574">
              <w:rPr>
                <w:rStyle w:val="Lienhypertexte"/>
              </w:rPr>
              <w:t>Finalité et objectifs</w:t>
            </w:r>
            <w:r w:rsidR="00287574" w:rsidRPr="00287574">
              <w:rPr>
                <w:webHidden/>
              </w:rPr>
              <w:tab/>
            </w:r>
            <w:r w:rsidR="00287574" w:rsidRPr="00287574">
              <w:rPr>
                <w:webHidden/>
              </w:rPr>
              <w:fldChar w:fldCharType="begin"/>
            </w:r>
            <w:r w:rsidR="00287574" w:rsidRPr="00287574">
              <w:rPr>
                <w:webHidden/>
              </w:rPr>
              <w:instrText xml:space="preserve"> PAGEREF _Toc40432326 \h </w:instrText>
            </w:r>
            <w:r w:rsidR="00287574" w:rsidRPr="00287574">
              <w:rPr>
                <w:webHidden/>
              </w:rPr>
            </w:r>
            <w:r w:rsidR="00287574" w:rsidRPr="00287574">
              <w:rPr>
                <w:webHidden/>
              </w:rPr>
              <w:fldChar w:fldCharType="separate"/>
            </w:r>
            <w:r w:rsidR="00287574" w:rsidRPr="00287574">
              <w:rPr>
                <w:webHidden/>
              </w:rPr>
              <w:t>5</w:t>
            </w:r>
            <w:r w:rsidR="00287574" w:rsidRPr="00287574">
              <w:rPr>
                <w:webHidden/>
              </w:rPr>
              <w:fldChar w:fldCharType="end"/>
            </w:r>
          </w:hyperlink>
        </w:p>
        <w:p w14:paraId="27C2849D" w14:textId="77777777" w:rsidR="00287574" w:rsidRPr="00287574" w:rsidRDefault="00CF7803">
          <w:pPr>
            <w:pStyle w:val="TM2"/>
            <w:rPr>
              <w:rFonts w:asciiTheme="minorHAnsi" w:hAnsiTheme="minorHAnsi"/>
              <w:b w:val="0"/>
              <w:color w:val="auto"/>
              <w:lang w:eastAsia="en-US"/>
            </w:rPr>
          </w:pPr>
          <w:hyperlink w:anchor="_Toc40432327" w:history="1">
            <w:r w:rsidR="00287574" w:rsidRPr="00287574">
              <w:rPr>
                <w:rStyle w:val="Lienhypertexte"/>
              </w:rPr>
              <w:t>1.2.</w:t>
            </w:r>
            <w:r w:rsidR="00287574" w:rsidRPr="00287574">
              <w:rPr>
                <w:rFonts w:asciiTheme="minorHAnsi" w:hAnsiTheme="minorHAnsi"/>
                <w:b w:val="0"/>
                <w:color w:val="auto"/>
                <w:lang w:eastAsia="en-US"/>
              </w:rPr>
              <w:tab/>
            </w:r>
            <w:r w:rsidR="00287574" w:rsidRPr="00287574">
              <w:rPr>
                <w:rStyle w:val="Lienhypertexte"/>
              </w:rPr>
              <w:t>Groupes cibles</w:t>
            </w:r>
            <w:r w:rsidR="00287574" w:rsidRPr="00287574">
              <w:rPr>
                <w:webHidden/>
              </w:rPr>
              <w:tab/>
            </w:r>
            <w:r w:rsidR="00287574" w:rsidRPr="00287574">
              <w:rPr>
                <w:webHidden/>
              </w:rPr>
              <w:fldChar w:fldCharType="begin"/>
            </w:r>
            <w:r w:rsidR="00287574" w:rsidRPr="00287574">
              <w:rPr>
                <w:webHidden/>
              </w:rPr>
              <w:instrText xml:space="preserve"> PAGEREF _Toc40432327 \h </w:instrText>
            </w:r>
            <w:r w:rsidR="00287574" w:rsidRPr="00287574">
              <w:rPr>
                <w:webHidden/>
              </w:rPr>
            </w:r>
            <w:r w:rsidR="00287574" w:rsidRPr="00287574">
              <w:rPr>
                <w:webHidden/>
              </w:rPr>
              <w:fldChar w:fldCharType="separate"/>
            </w:r>
            <w:r w:rsidR="00287574" w:rsidRPr="00287574">
              <w:rPr>
                <w:webHidden/>
              </w:rPr>
              <w:t>5</w:t>
            </w:r>
            <w:r w:rsidR="00287574" w:rsidRPr="00287574">
              <w:rPr>
                <w:webHidden/>
              </w:rPr>
              <w:fldChar w:fldCharType="end"/>
            </w:r>
          </w:hyperlink>
        </w:p>
        <w:p w14:paraId="6C664CC8" w14:textId="77777777" w:rsidR="00287574" w:rsidRPr="00287574" w:rsidRDefault="00CF7803">
          <w:pPr>
            <w:pStyle w:val="TM2"/>
            <w:rPr>
              <w:rFonts w:asciiTheme="minorHAnsi" w:hAnsiTheme="minorHAnsi"/>
              <w:b w:val="0"/>
              <w:color w:val="auto"/>
              <w:lang w:eastAsia="en-US"/>
            </w:rPr>
          </w:pPr>
          <w:hyperlink w:anchor="_Toc40432328" w:history="1">
            <w:r w:rsidR="00287574" w:rsidRPr="00287574">
              <w:rPr>
                <w:rStyle w:val="Lienhypertexte"/>
              </w:rPr>
              <w:t>1.3.</w:t>
            </w:r>
            <w:r w:rsidR="00287574" w:rsidRPr="00287574">
              <w:rPr>
                <w:rFonts w:asciiTheme="minorHAnsi" w:hAnsiTheme="minorHAnsi"/>
                <w:b w:val="0"/>
                <w:color w:val="auto"/>
                <w:lang w:eastAsia="en-US"/>
              </w:rPr>
              <w:tab/>
            </w:r>
            <w:r w:rsidR="00287574" w:rsidRPr="00287574">
              <w:rPr>
                <w:rStyle w:val="Lienhypertexte"/>
              </w:rPr>
              <w:t>Contexte</w:t>
            </w:r>
            <w:r w:rsidR="00287574" w:rsidRPr="00287574">
              <w:rPr>
                <w:webHidden/>
              </w:rPr>
              <w:tab/>
            </w:r>
            <w:r w:rsidR="00287574" w:rsidRPr="00287574">
              <w:rPr>
                <w:webHidden/>
              </w:rPr>
              <w:fldChar w:fldCharType="begin"/>
            </w:r>
            <w:r w:rsidR="00287574" w:rsidRPr="00287574">
              <w:rPr>
                <w:webHidden/>
              </w:rPr>
              <w:instrText xml:space="preserve"> PAGEREF _Toc40432328 \h </w:instrText>
            </w:r>
            <w:r w:rsidR="00287574" w:rsidRPr="00287574">
              <w:rPr>
                <w:webHidden/>
              </w:rPr>
            </w:r>
            <w:r w:rsidR="00287574" w:rsidRPr="00287574">
              <w:rPr>
                <w:webHidden/>
              </w:rPr>
              <w:fldChar w:fldCharType="separate"/>
            </w:r>
            <w:r w:rsidR="00287574" w:rsidRPr="00287574">
              <w:rPr>
                <w:webHidden/>
              </w:rPr>
              <w:t>6</w:t>
            </w:r>
            <w:r w:rsidR="00287574" w:rsidRPr="00287574">
              <w:rPr>
                <w:webHidden/>
              </w:rPr>
              <w:fldChar w:fldCharType="end"/>
            </w:r>
          </w:hyperlink>
        </w:p>
        <w:p w14:paraId="2B9C7504" w14:textId="77777777" w:rsidR="00287574" w:rsidRPr="00287574" w:rsidRDefault="00CF7803">
          <w:pPr>
            <w:pStyle w:val="TM1"/>
            <w:tabs>
              <w:tab w:val="left" w:pos="442"/>
            </w:tabs>
            <w:rPr>
              <w:rFonts w:asciiTheme="minorHAnsi" w:hAnsiTheme="minorHAnsi"/>
              <w:b w:val="0"/>
              <w:color w:val="auto"/>
              <w:sz w:val="22"/>
              <w:lang w:eastAsia="en-US"/>
            </w:rPr>
          </w:pPr>
          <w:hyperlink w:anchor="_Toc40432329" w:history="1">
            <w:r w:rsidR="00287574" w:rsidRPr="00287574">
              <w:rPr>
                <w:rStyle w:val="Lienhypertexte"/>
                <w:rFonts w:eastAsia="Times New Roman"/>
              </w:rPr>
              <w:t>2.</w:t>
            </w:r>
            <w:r w:rsidR="00287574" w:rsidRPr="00287574">
              <w:rPr>
                <w:rFonts w:asciiTheme="minorHAnsi" w:hAnsiTheme="minorHAnsi"/>
                <w:b w:val="0"/>
                <w:color w:val="auto"/>
                <w:sz w:val="22"/>
                <w:lang w:eastAsia="en-US"/>
              </w:rPr>
              <w:tab/>
            </w:r>
            <w:r w:rsidR="00287574" w:rsidRPr="00287574">
              <w:rPr>
                <w:rStyle w:val="Lienhypertexte"/>
              </w:rPr>
              <w:t>Infrastructure de recharge pour véhicules électriques</w:t>
            </w:r>
            <w:r w:rsidR="00287574" w:rsidRPr="00287574">
              <w:rPr>
                <w:webHidden/>
              </w:rPr>
              <w:tab/>
            </w:r>
            <w:r w:rsidR="00287574" w:rsidRPr="00287574">
              <w:rPr>
                <w:webHidden/>
              </w:rPr>
              <w:fldChar w:fldCharType="begin"/>
            </w:r>
            <w:r w:rsidR="00287574" w:rsidRPr="00287574">
              <w:rPr>
                <w:webHidden/>
              </w:rPr>
              <w:instrText xml:space="preserve"> PAGEREF _Toc40432329 \h </w:instrText>
            </w:r>
            <w:r w:rsidR="00287574" w:rsidRPr="00287574">
              <w:rPr>
                <w:webHidden/>
              </w:rPr>
            </w:r>
            <w:r w:rsidR="00287574" w:rsidRPr="00287574">
              <w:rPr>
                <w:webHidden/>
              </w:rPr>
              <w:fldChar w:fldCharType="separate"/>
            </w:r>
            <w:r w:rsidR="00287574" w:rsidRPr="00287574">
              <w:rPr>
                <w:webHidden/>
              </w:rPr>
              <w:t>6</w:t>
            </w:r>
            <w:r w:rsidR="00287574" w:rsidRPr="00287574">
              <w:rPr>
                <w:webHidden/>
              </w:rPr>
              <w:fldChar w:fldCharType="end"/>
            </w:r>
          </w:hyperlink>
        </w:p>
        <w:p w14:paraId="2C41E4B5" w14:textId="77777777" w:rsidR="00287574" w:rsidRPr="00287574" w:rsidRDefault="00CF7803">
          <w:pPr>
            <w:pStyle w:val="TM2"/>
            <w:rPr>
              <w:rFonts w:asciiTheme="minorHAnsi" w:hAnsiTheme="minorHAnsi"/>
              <w:b w:val="0"/>
              <w:color w:val="auto"/>
              <w:lang w:eastAsia="en-US"/>
            </w:rPr>
          </w:pPr>
          <w:hyperlink w:anchor="_Toc40432330" w:history="1">
            <w:r w:rsidR="00287574" w:rsidRPr="00287574">
              <w:rPr>
                <w:rStyle w:val="Lienhypertexte"/>
              </w:rPr>
              <w:t>2.1.</w:t>
            </w:r>
            <w:r w:rsidR="00287574" w:rsidRPr="00287574">
              <w:rPr>
                <w:rFonts w:asciiTheme="minorHAnsi" w:hAnsiTheme="minorHAnsi"/>
                <w:b w:val="0"/>
                <w:color w:val="auto"/>
                <w:lang w:eastAsia="en-US"/>
              </w:rPr>
              <w:tab/>
            </w:r>
            <w:r w:rsidR="00287574" w:rsidRPr="00287574">
              <w:rPr>
                <w:rStyle w:val="Lienhypertexte"/>
              </w:rPr>
              <w:t>Véhicules électriques</w:t>
            </w:r>
            <w:r w:rsidR="00287574" w:rsidRPr="00287574">
              <w:rPr>
                <w:webHidden/>
              </w:rPr>
              <w:tab/>
            </w:r>
            <w:r w:rsidR="00287574" w:rsidRPr="00287574">
              <w:rPr>
                <w:webHidden/>
              </w:rPr>
              <w:fldChar w:fldCharType="begin"/>
            </w:r>
            <w:r w:rsidR="00287574" w:rsidRPr="00287574">
              <w:rPr>
                <w:webHidden/>
              </w:rPr>
              <w:instrText xml:space="preserve"> PAGEREF _Toc40432330 \h </w:instrText>
            </w:r>
            <w:r w:rsidR="00287574" w:rsidRPr="00287574">
              <w:rPr>
                <w:webHidden/>
              </w:rPr>
            </w:r>
            <w:r w:rsidR="00287574" w:rsidRPr="00287574">
              <w:rPr>
                <w:webHidden/>
              </w:rPr>
              <w:fldChar w:fldCharType="separate"/>
            </w:r>
            <w:r w:rsidR="00287574" w:rsidRPr="00287574">
              <w:rPr>
                <w:webHidden/>
              </w:rPr>
              <w:t>7</w:t>
            </w:r>
            <w:r w:rsidR="00287574" w:rsidRPr="00287574">
              <w:rPr>
                <w:webHidden/>
              </w:rPr>
              <w:fldChar w:fldCharType="end"/>
            </w:r>
          </w:hyperlink>
        </w:p>
        <w:p w14:paraId="76EFCDD1" w14:textId="77777777" w:rsidR="00287574" w:rsidRPr="00287574" w:rsidRDefault="00CF7803">
          <w:pPr>
            <w:pStyle w:val="TM2"/>
            <w:rPr>
              <w:rFonts w:asciiTheme="minorHAnsi" w:hAnsiTheme="minorHAnsi"/>
              <w:b w:val="0"/>
              <w:color w:val="auto"/>
              <w:lang w:eastAsia="en-US"/>
            </w:rPr>
          </w:pPr>
          <w:hyperlink w:anchor="_Toc40432331" w:history="1">
            <w:r w:rsidR="00287574" w:rsidRPr="00287574">
              <w:rPr>
                <w:rStyle w:val="Lienhypertexte"/>
              </w:rPr>
              <w:t>2.2.</w:t>
            </w:r>
            <w:r w:rsidR="00287574" w:rsidRPr="00287574">
              <w:rPr>
                <w:rFonts w:asciiTheme="minorHAnsi" w:hAnsiTheme="minorHAnsi"/>
                <w:b w:val="0"/>
                <w:color w:val="auto"/>
                <w:lang w:eastAsia="en-US"/>
              </w:rPr>
              <w:tab/>
            </w:r>
            <w:r w:rsidR="00287574" w:rsidRPr="00287574">
              <w:rPr>
                <w:rStyle w:val="Lienhypertexte"/>
              </w:rPr>
              <w:t>Modes de recharge</w:t>
            </w:r>
            <w:r w:rsidR="00287574" w:rsidRPr="00287574">
              <w:rPr>
                <w:webHidden/>
              </w:rPr>
              <w:tab/>
            </w:r>
            <w:r w:rsidR="00287574" w:rsidRPr="00287574">
              <w:rPr>
                <w:webHidden/>
              </w:rPr>
              <w:fldChar w:fldCharType="begin"/>
            </w:r>
            <w:r w:rsidR="00287574" w:rsidRPr="00287574">
              <w:rPr>
                <w:webHidden/>
              </w:rPr>
              <w:instrText xml:space="preserve"> PAGEREF _Toc40432331 \h </w:instrText>
            </w:r>
            <w:r w:rsidR="00287574" w:rsidRPr="00287574">
              <w:rPr>
                <w:webHidden/>
              </w:rPr>
            </w:r>
            <w:r w:rsidR="00287574" w:rsidRPr="00287574">
              <w:rPr>
                <w:webHidden/>
              </w:rPr>
              <w:fldChar w:fldCharType="separate"/>
            </w:r>
            <w:r w:rsidR="00287574" w:rsidRPr="00287574">
              <w:rPr>
                <w:webHidden/>
              </w:rPr>
              <w:t>7</w:t>
            </w:r>
            <w:r w:rsidR="00287574" w:rsidRPr="00287574">
              <w:rPr>
                <w:webHidden/>
              </w:rPr>
              <w:fldChar w:fldCharType="end"/>
            </w:r>
          </w:hyperlink>
        </w:p>
        <w:p w14:paraId="68B7B180" w14:textId="77777777" w:rsidR="00287574" w:rsidRPr="00287574" w:rsidRDefault="00CF7803">
          <w:pPr>
            <w:pStyle w:val="TM2"/>
            <w:rPr>
              <w:rFonts w:asciiTheme="minorHAnsi" w:hAnsiTheme="minorHAnsi"/>
              <w:b w:val="0"/>
              <w:color w:val="auto"/>
              <w:lang w:eastAsia="en-US"/>
            </w:rPr>
          </w:pPr>
          <w:hyperlink w:anchor="_Toc40432332" w:history="1">
            <w:r w:rsidR="00287574" w:rsidRPr="00287574">
              <w:rPr>
                <w:rStyle w:val="Lienhypertexte"/>
              </w:rPr>
              <w:t>2.3.</w:t>
            </w:r>
            <w:r w:rsidR="00287574" w:rsidRPr="00287574">
              <w:rPr>
                <w:rFonts w:asciiTheme="minorHAnsi" w:hAnsiTheme="minorHAnsi"/>
                <w:b w:val="0"/>
                <w:color w:val="auto"/>
                <w:lang w:eastAsia="en-US"/>
              </w:rPr>
              <w:tab/>
            </w:r>
            <w:r w:rsidR="00287574" w:rsidRPr="00287574">
              <w:rPr>
                <w:rStyle w:val="Lienhypertexte"/>
              </w:rPr>
              <w:t>Typologie des circuits de recharge et des stations de recharge murales (boîtiers muraux) disponibles</w:t>
            </w:r>
            <w:r w:rsidR="00287574" w:rsidRPr="00287574">
              <w:rPr>
                <w:webHidden/>
              </w:rPr>
              <w:tab/>
            </w:r>
            <w:r w:rsidR="00287574" w:rsidRPr="00287574">
              <w:rPr>
                <w:webHidden/>
              </w:rPr>
              <w:fldChar w:fldCharType="begin"/>
            </w:r>
            <w:r w:rsidR="00287574" w:rsidRPr="00287574">
              <w:rPr>
                <w:webHidden/>
              </w:rPr>
              <w:instrText xml:space="preserve"> PAGEREF _Toc40432332 \h </w:instrText>
            </w:r>
            <w:r w:rsidR="00287574" w:rsidRPr="00287574">
              <w:rPr>
                <w:webHidden/>
              </w:rPr>
            </w:r>
            <w:r w:rsidR="00287574" w:rsidRPr="00287574">
              <w:rPr>
                <w:webHidden/>
              </w:rPr>
              <w:fldChar w:fldCharType="separate"/>
            </w:r>
            <w:r w:rsidR="00287574" w:rsidRPr="00287574">
              <w:rPr>
                <w:webHidden/>
              </w:rPr>
              <w:t>9</w:t>
            </w:r>
            <w:r w:rsidR="00287574" w:rsidRPr="00287574">
              <w:rPr>
                <w:webHidden/>
              </w:rPr>
              <w:fldChar w:fldCharType="end"/>
            </w:r>
          </w:hyperlink>
        </w:p>
        <w:p w14:paraId="6A216EF6" w14:textId="77777777" w:rsidR="00287574" w:rsidRPr="00287574" w:rsidRDefault="00CF7803">
          <w:pPr>
            <w:pStyle w:val="TM2"/>
            <w:rPr>
              <w:rFonts w:asciiTheme="minorHAnsi" w:hAnsiTheme="minorHAnsi"/>
              <w:b w:val="0"/>
              <w:color w:val="auto"/>
              <w:lang w:eastAsia="en-US"/>
            </w:rPr>
          </w:pPr>
          <w:hyperlink w:anchor="_Toc40432333" w:history="1">
            <w:r w:rsidR="00287574" w:rsidRPr="00287574">
              <w:rPr>
                <w:rStyle w:val="Lienhypertexte"/>
              </w:rPr>
              <w:t>2.4.</w:t>
            </w:r>
            <w:r w:rsidR="00287574" w:rsidRPr="00287574">
              <w:rPr>
                <w:rFonts w:asciiTheme="minorHAnsi" w:hAnsiTheme="minorHAnsi"/>
                <w:b w:val="0"/>
                <w:color w:val="auto"/>
                <w:lang w:eastAsia="en-US"/>
              </w:rPr>
              <w:tab/>
            </w:r>
            <w:r w:rsidR="00287574" w:rsidRPr="00287574">
              <w:rPr>
                <w:rStyle w:val="Lienhypertexte"/>
              </w:rPr>
              <w:t>Délestage</w:t>
            </w:r>
            <w:r w:rsidR="00287574" w:rsidRPr="00287574">
              <w:rPr>
                <w:webHidden/>
              </w:rPr>
              <w:tab/>
            </w:r>
            <w:r w:rsidR="00287574" w:rsidRPr="00287574">
              <w:rPr>
                <w:webHidden/>
              </w:rPr>
              <w:fldChar w:fldCharType="begin"/>
            </w:r>
            <w:r w:rsidR="00287574" w:rsidRPr="00287574">
              <w:rPr>
                <w:webHidden/>
              </w:rPr>
              <w:instrText xml:space="preserve"> PAGEREF _Toc40432333 \h </w:instrText>
            </w:r>
            <w:r w:rsidR="00287574" w:rsidRPr="00287574">
              <w:rPr>
                <w:webHidden/>
              </w:rPr>
            </w:r>
            <w:r w:rsidR="00287574" w:rsidRPr="00287574">
              <w:rPr>
                <w:webHidden/>
              </w:rPr>
              <w:fldChar w:fldCharType="separate"/>
            </w:r>
            <w:r w:rsidR="00287574" w:rsidRPr="00287574">
              <w:rPr>
                <w:webHidden/>
              </w:rPr>
              <w:t>9</w:t>
            </w:r>
            <w:r w:rsidR="00287574" w:rsidRPr="00287574">
              <w:rPr>
                <w:webHidden/>
              </w:rPr>
              <w:fldChar w:fldCharType="end"/>
            </w:r>
          </w:hyperlink>
        </w:p>
        <w:p w14:paraId="1FAAD00D" w14:textId="77777777" w:rsidR="00287574" w:rsidRPr="00287574" w:rsidRDefault="00CF7803">
          <w:pPr>
            <w:pStyle w:val="TM2"/>
            <w:rPr>
              <w:rFonts w:asciiTheme="minorHAnsi" w:hAnsiTheme="minorHAnsi"/>
              <w:b w:val="0"/>
              <w:color w:val="auto"/>
              <w:lang w:eastAsia="en-US"/>
            </w:rPr>
          </w:pPr>
          <w:hyperlink w:anchor="_Toc40432334" w:history="1">
            <w:r w:rsidR="00287574" w:rsidRPr="00287574">
              <w:rPr>
                <w:rStyle w:val="Lienhypertexte"/>
              </w:rPr>
              <w:t>2.5.</w:t>
            </w:r>
            <w:r w:rsidR="00287574" w:rsidRPr="00287574">
              <w:rPr>
                <w:rFonts w:asciiTheme="minorHAnsi" w:hAnsiTheme="minorHAnsi"/>
                <w:b w:val="0"/>
                <w:color w:val="auto"/>
                <w:lang w:eastAsia="en-US"/>
              </w:rPr>
              <w:tab/>
            </w:r>
            <w:r w:rsidR="00287574" w:rsidRPr="00287574">
              <w:rPr>
                <w:rStyle w:val="Lienhypertexte"/>
              </w:rPr>
              <w:t>Temps de recharge</w:t>
            </w:r>
            <w:r w:rsidR="00287574" w:rsidRPr="00287574">
              <w:rPr>
                <w:webHidden/>
              </w:rPr>
              <w:tab/>
            </w:r>
            <w:r w:rsidR="00287574" w:rsidRPr="00287574">
              <w:rPr>
                <w:webHidden/>
              </w:rPr>
              <w:fldChar w:fldCharType="begin"/>
            </w:r>
            <w:r w:rsidR="00287574" w:rsidRPr="00287574">
              <w:rPr>
                <w:webHidden/>
              </w:rPr>
              <w:instrText xml:space="preserve"> PAGEREF _Toc40432334 \h </w:instrText>
            </w:r>
            <w:r w:rsidR="00287574" w:rsidRPr="00287574">
              <w:rPr>
                <w:webHidden/>
              </w:rPr>
            </w:r>
            <w:r w:rsidR="00287574" w:rsidRPr="00287574">
              <w:rPr>
                <w:webHidden/>
              </w:rPr>
              <w:fldChar w:fldCharType="separate"/>
            </w:r>
            <w:r w:rsidR="00287574" w:rsidRPr="00287574">
              <w:rPr>
                <w:webHidden/>
              </w:rPr>
              <w:t>9</w:t>
            </w:r>
            <w:r w:rsidR="00287574" w:rsidRPr="00287574">
              <w:rPr>
                <w:webHidden/>
              </w:rPr>
              <w:fldChar w:fldCharType="end"/>
            </w:r>
          </w:hyperlink>
        </w:p>
        <w:p w14:paraId="76FC3FC9" w14:textId="77777777" w:rsidR="00287574" w:rsidRPr="00287574" w:rsidRDefault="00CF7803">
          <w:pPr>
            <w:pStyle w:val="TM1"/>
            <w:tabs>
              <w:tab w:val="left" w:pos="442"/>
            </w:tabs>
            <w:rPr>
              <w:rFonts w:asciiTheme="minorHAnsi" w:hAnsiTheme="minorHAnsi"/>
              <w:b w:val="0"/>
              <w:color w:val="auto"/>
              <w:sz w:val="22"/>
              <w:lang w:eastAsia="en-US"/>
            </w:rPr>
          </w:pPr>
          <w:hyperlink w:anchor="_Toc40432335" w:history="1">
            <w:r w:rsidR="00287574" w:rsidRPr="00287574">
              <w:rPr>
                <w:rStyle w:val="Lienhypertexte"/>
              </w:rPr>
              <w:t>3.</w:t>
            </w:r>
            <w:r w:rsidR="00287574" w:rsidRPr="00287574">
              <w:rPr>
                <w:rFonts w:asciiTheme="minorHAnsi" w:hAnsiTheme="minorHAnsi"/>
                <w:b w:val="0"/>
                <w:color w:val="auto"/>
                <w:sz w:val="22"/>
                <w:lang w:eastAsia="en-US"/>
              </w:rPr>
              <w:tab/>
            </w:r>
            <w:r w:rsidR="00287574" w:rsidRPr="00287574">
              <w:rPr>
                <w:rStyle w:val="Lienhypertexte"/>
              </w:rPr>
              <w:t>Exigences techniques pour l'installation électrique des dispositifs de recharge</w:t>
            </w:r>
            <w:r w:rsidR="00287574" w:rsidRPr="00287574">
              <w:rPr>
                <w:webHidden/>
              </w:rPr>
              <w:tab/>
            </w:r>
            <w:r w:rsidR="00287574" w:rsidRPr="00287574">
              <w:rPr>
                <w:webHidden/>
              </w:rPr>
              <w:fldChar w:fldCharType="begin"/>
            </w:r>
            <w:r w:rsidR="00287574" w:rsidRPr="00287574">
              <w:rPr>
                <w:webHidden/>
              </w:rPr>
              <w:instrText xml:space="preserve"> PAGEREF _Toc40432335 \h </w:instrText>
            </w:r>
            <w:r w:rsidR="00287574" w:rsidRPr="00287574">
              <w:rPr>
                <w:webHidden/>
              </w:rPr>
            </w:r>
            <w:r w:rsidR="00287574" w:rsidRPr="00287574">
              <w:rPr>
                <w:webHidden/>
              </w:rPr>
              <w:fldChar w:fldCharType="separate"/>
            </w:r>
            <w:r w:rsidR="00287574" w:rsidRPr="00287574">
              <w:rPr>
                <w:webHidden/>
              </w:rPr>
              <w:t>11</w:t>
            </w:r>
            <w:r w:rsidR="00287574" w:rsidRPr="00287574">
              <w:rPr>
                <w:webHidden/>
              </w:rPr>
              <w:fldChar w:fldCharType="end"/>
            </w:r>
          </w:hyperlink>
        </w:p>
        <w:p w14:paraId="462803A5" w14:textId="77777777" w:rsidR="00287574" w:rsidRPr="00287574" w:rsidRDefault="00CF7803">
          <w:pPr>
            <w:pStyle w:val="TM2"/>
            <w:rPr>
              <w:rFonts w:asciiTheme="minorHAnsi" w:hAnsiTheme="minorHAnsi"/>
              <w:b w:val="0"/>
              <w:color w:val="auto"/>
              <w:lang w:eastAsia="en-US"/>
            </w:rPr>
          </w:pPr>
          <w:hyperlink w:anchor="_Toc40432336" w:history="1">
            <w:r w:rsidR="00287574" w:rsidRPr="00287574">
              <w:rPr>
                <w:rStyle w:val="Lienhypertexte"/>
              </w:rPr>
              <w:t>3.1.</w:t>
            </w:r>
            <w:r w:rsidR="00287574" w:rsidRPr="00287574">
              <w:rPr>
                <w:rFonts w:asciiTheme="minorHAnsi" w:hAnsiTheme="minorHAnsi"/>
                <w:b w:val="0"/>
                <w:color w:val="auto"/>
                <w:lang w:eastAsia="en-US"/>
              </w:rPr>
              <w:tab/>
            </w:r>
            <w:r w:rsidR="00287574" w:rsidRPr="00287574">
              <w:rPr>
                <w:rStyle w:val="Lienhypertexte"/>
              </w:rPr>
              <w:t>Dispositions en matière de relevés et de services à valeur ajoutée</w:t>
            </w:r>
            <w:r w:rsidR="00287574" w:rsidRPr="00287574">
              <w:rPr>
                <w:webHidden/>
              </w:rPr>
              <w:tab/>
            </w:r>
            <w:r w:rsidR="00287574" w:rsidRPr="00287574">
              <w:rPr>
                <w:webHidden/>
              </w:rPr>
              <w:fldChar w:fldCharType="begin"/>
            </w:r>
            <w:r w:rsidR="00287574" w:rsidRPr="00287574">
              <w:rPr>
                <w:webHidden/>
              </w:rPr>
              <w:instrText xml:space="preserve"> PAGEREF _Toc40432336 \h </w:instrText>
            </w:r>
            <w:r w:rsidR="00287574" w:rsidRPr="00287574">
              <w:rPr>
                <w:webHidden/>
              </w:rPr>
            </w:r>
            <w:r w:rsidR="00287574" w:rsidRPr="00287574">
              <w:rPr>
                <w:webHidden/>
              </w:rPr>
              <w:fldChar w:fldCharType="separate"/>
            </w:r>
            <w:r w:rsidR="00287574" w:rsidRPr="00287574">
              <w:rPr>
                <w:webHidden/>
              </w:rPr>
              <w:t>11</w:t>
            </w:r>
            <w:r w:rsidR="00287574" w:rsidRPr="00287574">
              <w:rPr>
                <w:webHidden/>
              </w:rPr>
              <w:fldChar w:fldCharType="end"/>
            </w:r>
          </w:hyperlink>
        </w:p>
        <w:p w14:paraId="0820B413" w14:textId="77777777" w:rsidR="00287574" w:rsidRPr="00287574" w:rsidRDefault="00CF7803">
          <w:pPr>
            <w:pStyle w:val="TM2"/>
            <w:rPr>
              <w:rFonts w:asciiTheme="minorHAnsi" w:hAnsiTheme="minorHAnsi"/>
              <w:b w:val="0"/>
              <w:color w:val="auto"/>
              <w:lang w:eastAsia="en-US"/>
            </w:rPr>
          </w:pPr>
          <w:hyperlink w:anchor="_Toc40432337" w:history="1">
            <w:r w:rsidR="00287574" w:rsidRPr="00287574">
              <w:rPr>
                <w:rStyle w:val="Lienhypertexte"/>
              </w:rPr>
              <w:t>3.2.</w:t>
            </w:r>
            <w:r w:rsidR="00287574" w:rsidRPr="00287574">
              <w:rPr>
                <w:rFonts w:asciiTheme="minorHAnsi" w:hAnsiTheme="minorHAnsi"/>
                <w:b w:val="0"/>
                <w:color w:val="auto"/>
                <w:lang w:eastAsia="en-US"/>
              </w:rPr>
              <w:tab/>
            </w:r>
            <w:r w:rsidR="00287574" w:rsidRPr="00287574">
              <w:rPr>
                <w:rStyle w:val="Lienhypertexte"/>
              </w:rPr>
              <w:t>Puissance de raccordement requise</w:t>
            </w:r>
            <w:r w:rsidR="00287574" w:rsidRPr="00287574">
              <w:rPr>
                <w:webHidden/>
              </w:rPr>
              <w:tab/>
            </w:r>
            <w:r w:rsidR="00287574" w:rsidRPr="00287574">
              <w:rPr>
                <w:webHidden/>
              </w:rPr>
              <w:fldChar w:fldCharType="begin"/>
            </w:r>
            <w:r w:rsidR="00287574" w:rsidRPr="00287574">
              <w:rPr>
                <w:webHidden/>
              </w:rPr>
              <w:instrText xml:space="preserve"> PAGEREF _Toc40432337 \h </w:instrText>
            </w:r>
            <w:r w:rsidR="00287574" w:rsidRPr="00287574">
              <w:rPr>
                <w:webHidden/>
              </w:rPr>
            </w:r>
            <w:r w:rsidR="00287574" w:rsidRPr="00287574">
              <w:rPr>
                <w:webHidden/>
              </w:rPr>
              <w:fldChar w:fldCharType="separate"/>
            </w:r>
            <w:r w:rsidR="00287574" w:rsidRPr="00287574">
              <w:rPr>
                <w:webHidden/>
              </w:rPr>
              <w:t>12</w:t>
            </w:r>
            <w:r w:rsidR="00287574" w:rsidRPr="00287574">
              <w:rPr>
                <w:webHidden/>
              </w:rPr>
              <w:fldChar w:fldCharType="end"/>
            </w:r>
          </w:hyperlink>
        </w:p>
        <w:p w14:paraId="69A8FC4A" w14:textId="77777777" w:rsidR="00287574" w:rsidRPr="00287574" w:rsidRDefault="00CF7803">
          <w:pPr>
            <w:pStyle w:val="TM2"/>
            <w:rPr>
              <w:rFonts w:asciiTheme="minorHAnsi" w:hAnsiTheme="minorHAnsi"/>
              <w:b w:val="0"/>
              <w:color w:val="auto"/>
              <w:lang w:eastAsia="en-US"/>
            </w:rPr>
          </w:pPr>
          <w:hyperlink w:anchor="_Toc40432338" w:history="1">
            <w:r w:rsidR="00287574" w:rsidRPr="00287574">
              <w:rPr>
                <w:rStyle w:val="Lienhypertexte"/>
              </w:rPr>
              <w:t>3.3.</w:t>
            </w:r>
            <w:r w:rsidR="00287574" w:rsidRPr="00287574">
              <w:rPr>
                <w:rFonts w:asciiTheme="minorHAnsi" w:hAnsiTheme="minorHAnsi"/>
                <w:b w:val="0"/>
                <w:color w:val="auto"/>
                <w:lang w:eastAsia="en-US"/>
              </w:rPr>
              <w:tab/>
            </w:r>
            <w:r w:rsidR="00287574" w:rsidRPr="00287574">
              <w:rPr>
                <w:rStyle w:val="Lienhypertexte"/>
              </w:rPr>
              <w:t>Options de raccordement de l'infrastructure de recharge</w:t>
            </w:r>
            <w:r w:rsidR="00287574" w:rsidRPr="00287574">
              <w:rPr>
                <w:webHidden/>
              </w:rPr>
              <w:tab/>
            </w:r>
            <w:r w:rsidR="00287574" w:rsidRPr="00287574">
              <w:rPr>
                <w:webHidden/>
              </w:rPr>
              <w:fldChar w:fldCharType="begin"/>
            </w:r>
            <w:r w:rsidR="00287574" w:rsidRPr="00287574">
              <w:rPr>
                <w:webHidden/>
              </w:rPr>
              <w:instrText xml:space="preserve"> PAGEREF _Toc40432338 \h </w:instrText>
            </w:r>
            <w:r w:rsidR="00287574" w:rsidRPr="00287574">
              <w:rPr>
                <w:webHidden/>
              </w:rPr>
            </w:r>
            <w:r w:rsidR="00287574" w:rsidRPr="00287574">
              <w:rPr>
                <w:webHidden/>
              </w:rPr>
              <w:fldChar w:fldCharType="separate"/>
            </w:r>
            <w:r w:rsidR="00287574" w:rsidRPr="00287574">
              <w:rPr>
                <w:webHidden/>
              </w:rPr>
              <w:t>14</w:t>
            </w:r>
            <w:r w:rsidR="00287574" w:rsidRPr="00287574">
              <w:rPr>
                <w:webHidden/>
              </w:rPr>
              <w:fldChar w:fldCharType="end"/>
            </w:r>
          </w:hyperlink>
        </w:p>
        <w:p w14:paraId="12E3965A" w14:textId="77777777" w:rsidR="00287574" w:rsidRPr="00287574" w:rsidRDefault="00CF7803">
          <w:pPr>
            <w:pStyle w:val="TM3"/>
            <w:rPr>
              <w:rFonts w:asciiTheme="minorHAnsi" w:hAnsiTheme="minorHAnsi"/>
              <w:color w:val="auto"/>
              <w:lang w:eastAsia="en-US"/>
            </w:rPr>
          </w:pPr>
          <w:hyperlink w:anchor="_Toc40432339" w:history="1">
            <w:r w:rsidR="00287574" w:rsidRPr="00287574">
              <w:rPr>
                <w:rStyle w:val="Lienhypertexte"/>
                <w:b/>
                <w:bCs/>
              </w:rPr>
              <w:t>3.3.1.</w:t>
            </w:r>
            <w:r w:rsidR="00287574" w:rsidRPr="00287574">
              <w:rPr>
                <w:rFonts w:asciiTheme="minorHAnsi" w:hAnsiTheme="minorHAnsi"/>
                <w:color w:val="auto"/>
                <w:lang w:eastAsia="en-US"/>
              </w:rPr>
              <w:tab/>
            </w:r>
            <w:r w:rsidR="00287574" w:rsidRPr="00287574">
              <w:rPr>
                <w:rStyle w:val="Lienhypertexte"/>
                <w:b/>
                <w:bCs/>
              </w:rPr>
              <w:t>Variante A : Raccordement au compteur affecté à l'utilisateur</w:t>
            </w:r>
            <w:r w:rsidR="00287574" w:rsidRPr="00287574">
              <w:rPr>
                <w:webHidden/>
              </w:rPr>
              <w:tab/>
            </w:r>
            <w:r w:rsidR="00287574" w:rsidRPr="00287574">
              <w:rPr>
                <w:webHidden/>
              </w:rPr>
              <w:fldChar w:fldCharType="begin"/>
            </w:r>
            <w:r w:rsidR="00287574" w:rsidRPr="00287574">
              <w:rPr>
                <w:webHidden/>
              </w:rPr>
              <w:instrText xml:space="preserve"> PAGEREF _Toc40432339 \h </w:instrText>
            </w:r>
            <w:r w:rsidR="00287574" w:rsidRPr="00287574">
              <w:rPr>
                <w:webHidden/>
              </w:rPr>
            </w:r>
            <w:r w:rsidR="00287574" w:rsidRPr="00287574">
              <w:rPr>
                <w:webHidden/>
              </w:rPr>
              <w:fldChar w:fldCharType="separate"/>
            </w:r>
            <w:r w:rsidR="00287574" w:rsidRPr="00287574">
              <w:rPr>
                <w:webHidden/>
              </w:rPr>
              <w:t>15</w:t>
            </w:r>
            <w:r w:rsidR="00287574" w:rsidRPr="00287574">
              <w:rPr>
                <w:webHidden/>
              </w:rPr>
              <w:fldChar w:fldCharType="end"/>
            </w:r>
          </w:hyperlink>
        </w:p>
        <w:p w14:paraId="400BAAA6" w14:textId="77777777" w:rsidR="00287574" w:rsidRPr="00287574" w:rsidRDefault="00CF7803">
          <w:pPr>
            <w:pStyle w:val="TM3"/>
            <w:rPr>
              <w:rFonts w:asciiTheme="minorHAnsi" w:hAnsiTheme="minorHAnsi"/>
              <w:color w:val="auto"/>
              <w:lang w:eastAsia="en-US"/>
            </w:rPr>
          </w:pPr>
          <w:hyperlink w:anchor="_Toc40432340" w:history="1">
            <w:r w:rsidR="00287574" w:rsidRPr="00287574">
              <w:rPr>
                <w:rStyle w:val="Lienhypertexte"/>
                <w:b/>
                <w:bCs/>
              </w:rPr>
              <w:t>3.3.2.</w:t>
            </w:r>
            <w:r w:rsidR="00287574" w:rsidRPr="00287574">
              <w:rPr>
                <w:rFonts w:asciiTheme="minorHAnsi" w:hAnsiTheme="minorHAnsi"/>
                <w:color w:val="auto"/>
                <w:lang w:eastAsia="en-US"/>
              </w:rPr>
              <w:tab/>
            </w:r>
            <w:r w:rsidR="00287574" w:rsidRPr="00287574">
              <w:rPr>
                <w:rStyle w:val="Lienhypertexte"/>
                <w:b/>
                <w:bCs/>
              </w:rPr>
              <w:t>Variante B : Gestion de la charge par l'exploitant des stations de recharge - 1 compteur « EMOB-Général »</w:t>
            </w:r>
            <w:r w:rsidR="00287574" w:rsidRPr="00287574">
              <w:rPr>
                <w:webHidden/>
              </w:rPr>
              <w:tab/>
            </w:r>
            <w:r w:rsidR="00287574" w:rsidRPr="00287574">
              <w:rPr>
                <w:webHidden/>
              </w:rPr>
              <w:fldChar w:fldCharType="begin"/>
            </w:r>
            <w:r w:rsidR="00287574" w:rsidRPr="00287574">
              <w:rPr>
                <w:webHidden/>
              </w:rPr>
              <w:instrText xml:space="preserve"> PAGEREF _Toc40432340 \h </w:instrText>
            </w:r>
            <w:r w:rsidR="00287574" w:rsidRPr="00287574">
              <w:rPr>
                <w:webHidden/>
              </w:rPr>
            </w:r>
            <w:r w:rsidR="00287574" w:rsidRPr="00287574">
              <w:rPr>
                <w:webHidden/>
              </w:rPr>
              <w:fldChar w:fldCharType="separate"/>
            </w:r>
            <w:r w:rsidR="00287574" w:rsidRPr="00287574">
              <w:rPr>
                <w:webHidden/>
              </w:rPr>
              <w:t>17</w:t>
            </w:r>
            <w:r w:rsidR="00287574" w:rsidRPr="00287574">
              <w:rPr>
                <w:webHidden/>
              </w:rPr>
              <w:fldChar w:fldCharType="end"/>
            </w:r>
          </w:hyperlink>
        </w:p>
        <w:p w14:paraId="1A9E85BD" w14:textId="77777777" w:rsidR="00287574" w:rsidRPr="00287574" w:rsidRDefault="00CF7803">
          <w:pPr>
            <w:pStyle w:val="TM2"/>
            <w:rPr>
              <w:rFonts w:asciiTheme="minorHAnsi" w:hAnsiTheme="minorHAnsi"/>
              <w:b w:val="0"/>
              <w:color w:val="auto"/>
              <w:lang w:eastAsia="en-US"/>
            </w:rPr>
          </w:pPr>
          <w:hyperlink w:anchor="_Toc40432341" w:history="1">
            <w:r w:rsidR="00287574" w:rsidRPr="00287574">
              <w:rPr>
                <w:rStyle w:val="Lienhypertexte"/>
              </w:rPr>
              <w:t>3.4.</w:t>
            </w:r>
            <w:r w:rsidR="00287574" w:rsidRPr="00287574">
              <w:rPr>
                <w:rFonts w:asciiTheme="minorHAnsi" w:hAnsiTheme="minorHAnsi"/>
                <w:b w:val="0"/>
                <w:color w:val="auto"/>
                <w:lang w:eastAsia="en-US"/>
              </w:rPr>
              <w:tab/>
            </w:r>
            <w:r w:rsidR="00287574" w:rsidRPr="00287574">
              <w:rPr>
                <w:rStyle w:val="Lienhypertexte"/>
              </w:rPr>
              <w:t>Mesures de protection</w:t>
            </w:r>
            <w:r w:rsidR="00287574" w:rsidRPr="00287574">
              <w:rPr>
                <w:webHidden/>
              </w:rPr>
              <w:tab/>
            </w:r>
            <w:r w:rsidR="00287574" w:rsidRPr="00287574">
              <w:rPr>
                <w:webHidden/>
              </w:rPr>
              <w:fldChar w:fldCharType="begin"/>
            </w:r>
            <w:r w:rsidR="00287574" w:rsidRPr="00287574">
              <w:rPr>
                <w:webHidden/>
              </w:rPr>
              <w:instrText xml:space="preserve"> PAGEREF _Toc40432341 \h </w:instrText>
            </w:r>
            <w:r w:rsidR="00287574" w:rsidRPr="00287574">
              <w:rPr>
                <w:webHidden/>
              </w:rPr>
            </w:r>
            <w:r w:rsidR="00287574" w:rsidRPr="00287574">
              <w:rPr>
                <w:webHidden/>
              </w:rPr>
              <w:fldChar w:fldCharType="separate"/>
            </w:r>
            <w:r w:rsidR="00287574" w:rsidRPr="00287574">
              <w:rPr>
                <w:webHidden/>
              </w:rPr>
              <w:t>20</w:t>
            </w:r>
            <w:r w:rsidR="00287574" w:rsidRPr="00287574">
              <w:rPr>
                <w:webHidden/>
              </w:rPr>
              <w:fldChar w:fldCharType="end"/>
            </w:r>
          </w:hyperlink>
        </w:p>
        <w:p w14:paraId="4E7D588F" w14:textId="77777777" w:rsidR="00287574" w:rsidRPr="00287574" w:rsidRDefault="00CF7803">
          <w:pPr>
            <w:pStyle w:val="TM3"/>
            <w:rPr>
              <w:rFonts w:asciiTheme="minorHAnsi" w:hAnsiTheme="minorHAnsi"/>
              <w:color w:val="auto"/>
              <w:lang w:eastAsia="en-US"/>
            </w:rPr>
          </w:pPr>
          <w:hyperlink w:anchor="_Toc40432342" w:history="1">
            <w:r w:rsidR="00287574" w:rsidRPr="00287574">
              <w:rPr>
                <w:rStyle w:val="Lienhypertexte"/>
                <w:b/>
                <w:bCs/>
              </w:rPr>
              <w:t>3.4.1.</w:t>
            </w:r>
            <w:r w:rsidR="00287574" w:rsidRPr="00287574">
              <w:rPr>
                <w:rFonts w:asciiTheme="minorHAnsi" w:hAnsiTheme="minorHAnsi"/>
                <w:color w:val="auto"/>
                <w:lang w:eastAsia="en-US"/>
              </w:rPr>
              <w:tab/>
            </w:r>
            <w:r w:rsidR="00287574" w:rsidRPr="00287574">
              <w:rPr>
                <w:rStyle w:val="Lienhypertexte"/>
                <w:b/>
                <w:bCs/>
              </w:rPr>
              <w:t>Charge monophasée via un raccordement triphasé</w:t>
            </w:r>
            <w:r w:rsidR="00287574" w:rsidRPr="00287574">
              <w:rPr>
                <w:webHidden/>
              </w:rPr>
              <w:tab/>
            </w:r>
            <w:r w:rsidR="00287574" w:rsidRPr="00287574">
              <w:rPr>
                <w:webHidden/>
              </w:rPr>
              <w:fldChar w:fldCharType="begin"/>
            </w:r>
            <w:r w:rsidR="00287574" w:rsidRPr="00287574">
              <w:rPr>
                <w:webHidden/>
              </w:rPr>
              <w:instrText xml:space="preserve"> PAGEREF _Toc40432342 \h </w:instrText>
            </w:r>
            <w:r w:rsidR="00287574" w:rsidRPr="00287574">
              <w:rPr>
                <w:webHidden/>
              </w:rPr>
            </w:r>
            <w:r w:rsidR="00287574" w:rsidRPr="00287574">
              <w:rPr>
                <w:webHidden/>
              </w:rPr>
              <w:fldChar w:fldCharType="separate"/>
            </w:r>
            <w:r w:rsidR="00287574" w:rsidRPr="00287574">
              <w:rPr>
                <w:webHidden/>
              </w:rPr>
              <w:t>20</w:t>
            </w:r>
            <w:r w:rsidR="00287574" w:rsidRPr="00287574">
              <w:rPr>
                <w:webHidden/>
              </w:rPr>
              <w:fldChar w:fldCharType="end"/>
            </w:r>
          </w:hyperlink>
        </w:p>
        <w:p w14:paraId="39BB48EE" w14:textId="77777777" w:rsidR="00287574" w:rsidRPr="00287574" w:rsidRDefault="00CF7803">
          <w:pPr>
            <w:pStyle w:val="TM3"/>
            <w:rPr>
              <w:rFonts w:asciiTheme="minorHAnsi" w:hAnsiTheme="minorHAnsi"/>
              <w:color w:val="auto"/>
              <w:lang w:eastAsia="en-US"/>
            </w:rPr>
          </w:pPr>
          <w:hyperlink w:anchor="_Toc40432343" w:history="1">
            <w:r w:rsidR="00287574" w:rsidRPr="00287574">
              <w:rPr>
                <w:rStyle w:val="Lienhypertexte"/>
                <w:b/>
                <w:bCs/>
              </w:rPr>
              <w:t>3.4.2.</w:t>
            </w:r>
            <w:r w:rsidR="00287574" w:rsidRPr="00287574">
              <w:rPr>
                <w:rFonts w:asciiTheme="minorHAnsi" w:hAnsiTheme="minorHAnsi"/>
                <w:color w:val="auto"/>
                <w:lang w:eastAsia="en-US"/>
              </w:rPr>
              <w:tab/>
            </w:r>
            <w:r w:rsidR="00287574" w:rsidRPr="00287574">
              <w:rPr>
                <w:rStyle w:val="Lienhypertexte"/>
                <w:b/>
                <w:bCs/>
              </w:rPr>
              <w:t>Protection contre la surcharge et les courts-circuits</w:t>
            </w:r>
            <w:r w:rsidR="00287574" w:rsidRPr="00287574">
              <w:rPr>
                <w:webHidden/>
              </w:rPr>
              <w:tab/>
            </w:r>
            <w:r w:rsidR="00287574" w:rsidRPr="00287574">
              <w:rPr>
                <w:webHidden/>
              </w:rPr>
              <w:fldChar w:fldCharType="begin"/>
            </w:r>
            <w:r w:rsidR="00287574" w:rsidRPr="00287574">
              <w:rPr>
                <w:webHidden/>
              </w:rPr>
              <w:instrText xml:space="preserve"> PAGEREF _Toc40432343 \h </w:instrText>
            </w:r>
            <w:r w:rsidR="00287574" w:rsidRPr="00287574">
              <w:rPr>
                <w:webHidden/>
              </w:rPr>
            </w:r>
            <w:r w:rsidR="00287574" w:rsidRPr="00287574">
              <w:rPr>
                <w:webHidden/>
              </w:rPr>
              <w:fldChar w:fldCharType="separate"/>
            </w:r>
            <w:r w:rsidR="00287574" w:rsidRPr="00287574">
              <w:rPr>
                <w:webHidden/>
              </w:rPr>
              <w:t>20</w:t>
            </w:r>
            <w:r w:rsidR="00287574" w:rsidRPr="00287574">
              <w:rPr>
                <w:webHidden/>
              </w:rPr>
              <w:fldChar w:fldCharType="end"/>
            </w:r>
          </w:hyperlink>
        </w:p>
        <w:p w14:paraId="60E9AA46" w14:textId="77777777" w:rsidR="00287574" w:rsidRPr="00287574" w:rsidRDefault="00CF7803">
          <w:pPr>
            <w:pStyle w:val="TM3"/>
            <w:rPr>
              <w:rFonts w:asciiTheme="minorHAnsi" w:hAnsiTheme="minorHAnsi"/>
              <w:color w:val="auto"/>
              <w:lang w:eastAsia="en-US"/>
            </w:rPr>
          </w:pPr>
          <w:hyperlink w:anchor="_Toc40432344" w:history="1">
            <w:r w:rsidR="00287574" w:rsidRPr="00287574">
              <w:rPr>
                <w:rStyle w:val="Lienhypertexte"/>
                <w:b/>
                <w:bCs/>
              </w:rPr>
              <w:t>3.4.3.</w:t>
            </w:r>
            <w:r w:rsidR="00287574" w:rsidRPr="00287574">
              <w:rPr>
                <w:rFonts w:asciiTheme="minorHAnsi" w:hAnsiTheme="minorHAnsi"/>
                <w:color w:val="auto"/>
                <w:lang w:eastAsia="en-US"/>
              </w:rPr>
              <w:tab/>
            </w:r>
            <w:r w:rsidR="00287574" w:rsidRPr="00287574">
              <w:rPr>
                <w:rStyle w:val="Lienhypertexte"/>
                <w:b/>
                <w:bCs/>
              </w:rPr>
              <w:t>Disjoncteur</w:t>
            </w:r>
            <w:r w:rsidR="00287574" w:rsidRPr="00287574">
              <w:rPr>
                <w:webHidden/>
              </w:rPr>
              <w:tab/>
            </w:r>
            <w:r w:rsidR="00287574" w:rsidRPr="00287574">
              <w:rPr>
                <w:webHidden/>
              </w:rPr>
              <w:fldChar w:fldCharType="begin"/>
            </w:r>
            <w:r w:rsidR="00287574" w:rsidRPr="00287574">
              <w:rPr>
                <w:webHidden/>
              </w:rPr>
              <w:instrText xml:space="preserve"> PAGEREF _Toc40432344 \h </w:instrText>
            </w:r>
            <w:r w:rsidR="00287574" w:rsidRPr="00287574">
              <w:rPr>
                <w:webHidden/>
              </w:rPr>
            </w:r>
            <w:r w:rsidR="00287574" w:rsidRPr="00287574">
              <w:rPr>
                <w:webHidden/>
              </w:rPr>
              <w:fldChar w:fldCharType="separate"/>
            </w:r>
            <w:r w:rsidR="00287574" w:rsidRPr="00287574">
              <w:rPr>
                <w:webHidden/>
              </w:rPr>
              <w:t>20</w:t>
            </w:r>
            <w:r w:rsidR="00287574" w:rsidRPr="00287574">
              <w:rPr>
                <w:webHidden/>
              </w:rPr>
              <w:fldChar w:fldCharType="end"/>
            </w:r>
          </w:hyperlink>
        </w:p>
        <w:p w14:paraId="7F363B22" w14:textId="77777777" w:rsidR="00287574" w:rsidRPr="00287574" w:rsidRDefault="00CF7803">
          <w:pPr>
            <w:pStyle w:val="TM3"/>
            <w:rPr>
              <w:rFonts w:asciiTheme="minorHAnsi" w:hAnsiTheme="minorHAnsi"/>
              <w:color w:val="auto"/>
              <w:lang w:eastAsia="en-US"/>
            </w:rPr>
          </w:pPr>
          <w:hyperlink w:anchor="_Toc40432345" w:history="1">
            <w:r w:rsidR="00287574" w:rsidRPr="00287574">
              <w:rPr>
                <w:rStyle w:val="Lienhypertexte"/>
                <w:b/>
                <w:bCs/>
              </w:rPr>
              <w:t>3.4.4.</w:t>
            </w:r>
            <w:r w:rsidR="00287574" w:rsidRPr="00287574">
              <w:rPr>
                <w:rFonts w:asciiTheme="minorHAnsi" w:hAnsiTheme="minorHAnsi"/>
                <w:color w:val="auto"/>
                <w:lang w:eastAsia="en-US"/>
              </w:rPr>
              <w:tab/>
            </w:r>
            <w:r w:rsidR="00287574" w:rsidRPr="00287574">
              <w:rPr>
                <w:rStyle w:val="Lienhypertexte"/>
                <w:b/>
                <w:bCs/>
              </w:rPr>
              <w:t>Protection contre les chocs électriques</w:t>
            </w:r>
            <w:r w:rsidR="00287574" w:rsidRPr="00287574">
              <w:rPr>
                <w:webHidden/>
              </w:rPr>
              <w:tab/>
            </w:r>
            <w:r w:rsidR="00287574" w:rsidRPr="00287574">
              <w:rPr>
                <w:webHidden/>
              </w:rPr>
              <w:fldChar w:fldCharType="begin"/>
            </w:r>
            <w:r w:rsidR="00287574" w:rsidRPr="00287574">
              <w:rPr>
                <w:webHidden/>
              </w:rPr>
              <w:instrText xml:space="preserve"> PAGEREF _Toc40432345 \h </w:instrText>
            </w:r>
            <w:r w:rsidR="00287574" w:rsidRPr="00287574">
              <w:rPr>
                <w:webHidden/>
              </w:rPr>
            </w:r>
            <w:r w:rsidR="00287574" w:rsidRPr="00287574">
              <w:rPr>
                <w:webHidden/>
              </w:rPr>
              <w:fldChar w:fldCharType="separate"/>
            </w:r>
            <w:r w:rsidR="00287574" w:rsidRPr="00287574">
              <w:rPr>
                <w:webHidden/>
              </w:rPr>
              <w:t>21</w:t>
            </w:r>
            <w:r w:rsidR="00287574" w:rsidRPr="00287574">
              <w:rPr>
                <w:webHidden/>
              </w:rPr>
              <w:fldChar w:fldCharType="end"/>
            </w:r>
          </w:hyperlink>
        </w:p>
        <w:p w14:paraId="5E878348" w14:textId="77777777" w:rsidR="00287574" w:rsidRPr="00287574" w:rsidRDefault="00CF7803">
          <w:pPr>
            <w:pStyle w:val="TM3"/>
            <w:rPr>
              <w:rFonts w:asciiTheme="minorHAnsi" w:hAnsiTheme="minorHAnsi"/>
              <w:color w:val="auto"/>
              <w:lang w:eastAsia="en-US"/>
            </w:rPr>
          </w:pPr>
          <w:hyperlink w:anchor="_Toc40432346" w:history="1">
            <w:r w:rsidR="00287574" w:rsidRPr="00287574">
              <w:rPr>
                <w:rStyle w:val="Lienhypertexte"/>
                <w:b/>
                <w:bCs/>
              </w:rPr>
              <w:t>3.4.5.</w:t>
            </w:r>
            <w:r w:rsidR="00287574" w:rsidRPr="00287574">
              <w:rPr>
                <w:rFonts w:asciiTheme="minorHAnsi" w:hAnsiTheme="minorHAnsi"/>
                <w:color w:val="auto"/>
                <w:lang w:eastAsia="en-US"/>
              </w:rPr>
              <w:tab/>
            </w:r>
            <w:r w:rsidR="00287574" w:rsidRPr="00287574">
              <w:rPr>
                <w:rStyle w:val="Lienhypertexte"/>
                <w:b/>
                <w:bCs/>
              </w:rPr>
              <w:t>Protection contre la foudre et les surtensions</w:t>
            </w:r>
            <w:r w:rsidR="00287574" w:rsidRPr="00287574">
              <w:rPr>
                <w:webHidden/>
              </w:rPr>
              <w:tab/>
            </w:r>
            <w:r w:rsidR="00287574" w:rsidRPr="00287574">
              <w:rPr>
                <w:webHidden/>
              </w:rPr>
              <w:fldChar w:fldCharType="begin"/>
            </w:r>
            <w:r w:rsidR="00287574" w:rsidRPr="00287574">
              <w:rPr>
                <w:webHidden/>
              </w:rPr>
              <w:instrText xml:space="preserve"> PAGEREF _Toc40432346 \h </w:instrText>
            </w:r>
            <w:r w:rsidR="00287574" w:rsidRPr="00287574">
              <w:rPr>
                <w:webHidden/>
              </w:rPr>
            </w:r>
            <w:r w:rsidR="00287574" w:rsidRPr="00287574">
              <w:rPr>
                <w:webHidden/>
              </w:rPr>
              <w:fldChar w:fldCharType="separate"/>
            </w:r>
            <w:r w:rsidR="00287574" w:rsidRPr="00287574">
              <w:rPr>
                <w:webHidden/>
              </w:rPr>
              <w:t>22</w:t>
            </w:r>
            <w:r w:rsidR="00287574" w:rsidRPr="00287574">
              <w:rPr>
                <w:webHidden/>
              </w:rPr>
              <w:fldChar w:fldCharType="end"/>
            </w:r>
          </w:hyperlink>
        </w:p>
        <w:p w14:paraId="0FC44BC8" w14:textId="77777777" w:rsidR="00287574" w:rsidRPr="00287574" w:rsidRDefault="00CF7803">
          <w:pPr>
            <w:pStyle w:val="TM3"/>
            <w:rPr>
              <w:rFonts w:asciiTheme="minorHAnsi" w:hAnsiTheme="minorHAnsi"/>
              <w:color w:val="auto"/>
              <w:lang w:eastAsia="en-US"/>
            </w:rPr>
          </w:pPr>
          <w:hyperlink w:anchor="_Toc40432347" w:history="1">
            <w:r w:rsidR="00287574" w:rsidRPr="00287574">
              <w:rPr>
                <w:rStyle w:val="Lienhypertexte"/>
                <w:b/>
                <w:bCs/>
              </w:rPr>
              <w:t>3.4.6.</w:t>
            </w:r>
            <w:r w:rsidR="00287574" w:rsidRPr="00287574">
              <w:rPr>
                <w:rFonts w:asciiTheme="minorHAnsi" w:hAnsiTheme="minorHAnsi"/>
                <w:color w:val="auto"/>
                <w:lang w:eastAsia="en-US"/>
              </w:rPr>
              <w:tab/>
            </w:r>
            <w:r w:rsidR="00287574" w:rsidRPr="00287574">
              <w:rPr>
                <w:rStyle w:val="Lienhypertexte"/>
                <w:b/>
                <w:bCs/>
              </w:rPr>
              <w:t>Compatibilité électromagnétique, perturbations du réseau</w:t>
            </w:r>
            <w:r w:rsidR="00287574" w:rsidRPr="00287574">
              <w:rPr>
                <w:webHidden/>
              </w:rPr>
              <w:tab/>
            </w:r>
            <w:r w:rsidR="00287574" w:rsidRPr="00287574">
              <w:rPr>
                <w:webHidden/>
              </w:rPr>
              <w:fldChar w:fldCharType="begin"/>
            </w:r>
            <w:r w:rsidR="00287574" w:rsidRPr="00287574">
              <w:rPr>
                <w:webHidden/>
              </w:rPr>
              <w:instrText xml:space="preserve"> PAGEREF _Toc40432347 \h </w:instrText>
            </w:r>
            <w:r w:rsidR="00287574" w:rsidRPr="00287574">
              <w:rPr>
                <w:webHidden/>
              </w:rPr>
            </w:r>
            <w:r w:rsidR="00287574" w:rsidRPr="00287574">
              <w:rPr>
                <w:webHidden/>
              </w:rPr>
              <w:fldChar w:fldCharType="separate"/>
            </w:r>
            <w:r w:rsidR="00287574" w:rsidRPr="00287574">
              <w:rPr>
                <w:webHidden/>
              </w:rPr>
              <w:t>22</w:t>
            </w:r>
            <w:r w:rsidR="00287574" w:rsidRPr="00287574">
              <w:rPr>
                <w:webHidden/>
              </w:rPr>
              <w:fldChar w:fldCharType="end"/>
            </w:r>
          </w:hyperlink>
        </w:p>
        <w:p w14:paraId="789BFD56" w14:textId="77777777" w:rsidR="00287574" w:rsidRPr="00287574" w:rsidRDefault="00CF7803">
          <w:pPr>
            <w:pStyle w:val="TM3"/>
            <w:rPr>
              <w:rFonts w:asciiTheme="minorHAnsi" w:hAnsiTheme="minorHAnsi"/>
              <w:color w:val="auto"/>
              <w:lang w:eastAsia="en-US"/>
            </w:rPr>
          </w:pPr>
          <w:hyperlink w:anchor="_Toc40432348" w:history="1">
            <w:r w:rsidR="00287574" w:rsidRPr="00287574">
              <w:rPr>
                <w:rStyle w:val="Lienhypertexte"/>
                <w:b/>
                <w:bCs/>
              </w:rPr>
              <w:t>3.4.7.</w:t>
            </w:r>
            <w:r w:rsidR="00287574" w:rsidRPr="00287574">
              <w:rPr>
                <w:rFonts w:asciiTheme="minorHAnsi" w:hAnsiTheme="minorHAnsi"/>
                <w:color w:val="auto"/>
                <w:lang w:eastAsia="en-US"/>
              </w:rPr>
              <w:tab/>
            </w:r>
            <w:r w:rsidR="00287574" w:rsidRPr="00287574">
              <w:rPr>
                <w:rStyle w:val="Lienhypertexte"/>
                <w:b/>
                <w:bCs/>
              </w:rPr>
              <w:t>Lutte contre l'incendie</w:t>
            </w:r>
            <w:r w:rsidR="00287574" w:rsidRPr="00287574">
              <w:rPr>
                <w:webHidden/>
              </w:rPr>
              <w:tab/>
            </w:r>
            <w:r w:rsidR="00287574" w:rsidRPr="00287574">
              <w:rPr>
                <w:webHidden/>
              </w:rPr>
              <w:fldChar w:fldCharType="begin"/>
            </w:r>
            <w:r w:rsidR="00287574" w:rsidRPr="00287574">
              <w:rPr>
                <w:webHidden/>
              </w:rPr>
              <w:instrText xml:space="preserve"> PAGEREF _Toc40432348 \h </w:instrText>
            </w:r>
            <w:r w:rsidR="00287574" w:rsidRPr="00287574">
              <w:rPr>
                <w:webHidden/>
              </w:rPr>
            </w:r>
            <w:r w:rsidR="00287574" w:rsidRPr="00287574">
              <w:rPr>
                <w:webHidden/>
              </w:rPr>
              <w:fldChar w:fldCharType="separate"/>
            </w:r>
            <w:r w:rsidR="00287574" w:rsidRPr="00287574">
              <w:rPr>
                <w:webHidden/>
              </w:rPr>
              <w:t>22</w:t>
            </w:r>
            <w:r w:rsidR="00287574" w:rsidRPr="00287574">
              <w:rPr>
                <w:webHidden/>
              </w:rPr>
              <w:fldChar w:fldCharType="end"/>
            </w:r>
          </w:hyperlink>
        </w:p>
        <w:p w14:paraId="1352C99A" w14:textId="77777777" w:rsidR="00287574" w:rsidRPr="00287574" w:rsidRDefault="00CF7803">
          <w:pPr>
            <w:pStyle w:val="TM3"/>
            <w:rPr>
              <w:rFonts w:asciiTheme="minorHAnsi" w:hAnsiTheme="minorHAnsi"/>
              <w:color w:val="auto"/>
              <w:lang w:eastAsia="en-US"/>
            </w:rPr>
          </w:pPr>
          <w:hyperlink w:anchor="_Toc40432349" w:history="1">
            <w:r w:rsidR="00287574" w:rsidRPr="00287574">
              <w:rPr>
                <w:rStyle w:val="Lienhypertexte"/>
                <w:b/>
                <w:bCs/>
              </w:rPr>
              <w:t>3.4.8.</w:t>
            </w:r>
            <w:r w:rsidR="00287574" w:rsidRPr="00287574">
              <w:rPr>
                <w:rFonts w:asciiTheme="minorHAnsi" w:hAnsiTheme="minorHAnsi"/>
                <w:color w:val="auto"/>
                <w:lang w:eastAsia="en-US"/>
              </w:rPr>
              <w:tab/>
            </w:r>
            <w:r w:rsidR="00287574" w:rsidRPr="00287574">
              <w:rPr>
                <w:rStyle w:val="Lienhypertexte"/>
                <w:b/>
                <w:bCs/>
              </w:rPr>
              <w:t>Positionnement des stations de recharge</w:t>
            </w:r>
            <w:r w:rsidR="00287574" w:rsidRPr="00287574">
              <w:rPr>
                <w:webHidden/>
              </w:rPr>
              <w:tab/>
            </w:r>
            <w:r w:rsidR="00287574" w:rsidRPr="00287574">
              <w:rPr>
                <w:webHidden/>
              </w:rPr>
              <w:fldChar w:fldCharType="begin"/>
            </w:r>
            <w:r w:rsidR="00287574" w:rsidRPr="00287574">
              <w:rPr>
                <w:webHidden/>
              </w:rPr>
              <w:instrText xml:space="preserve"> PAGEREF _Toc40432349 \h </w:instrText>
            </w:r>
            <w:r w:rsidR="00287574" w:rsidRPr="00287574">
              <w:rPr>
                <w:webHidden/>
              </w:rPr>
            </w:r>
            <w:r w:rsidR="00287574" w:rsidRPr="00287574">
              <w:rPr>
                <w:webHidden/>
              </w:rPr>
              <w:fldChar w:fldCharType="separate"/>
            </w:r>
            <w:r w:rsidR="00287574" w:rsidRPr="00287574">
              <w:rPr>
                <w:webHidden/>
              </w:rPr>
              <w:t>23</w:t>
            </w:r>
            <w:r w:rsidR="00287574" w:rsidRPr="00287574">
              <w:rPr>
                <w:webHidden/>
              </w:rPr>
              <w:fldChar w:fldCharType="end"/>
            </w:r>
          </w:hyperlink>
        </w:p>
        <w:p w14:paraId="6A0CC813" w14:textId="77777777" w:rsidR="00287574" w:rsidRPr="00287574" w:rsidRDefault="00CF7803">
          <w:pPr>
            <w:pStyle w:val="TM2"/>
            <w:rPr>
              <w:rFonts w:asciiTheme="minorHAnsi" w:hAnsiTheme="minorHAnsi"/>
              <w:b w:val="0"/>
              <w:color w:val="auto"/>
              <w:lang w:eastAsia="en-US"/>
            </w:rPr>
          </w:pPr>
          <w:hyperlink w:anchor="_Toc40432350" w:history="1">
            <w:r w:rsidR="00287574" w:rsidRPr="00287574">
              <w:rPr>
                <w:rStyle w:val="Lienhypertexte"/>
              </w:rPr>
              <w:t>3.5.</w:t>
            </w:r>
            <w:r w:rsidR="00287574" w:rsidRPr="00287574">
              <w:rPr>
                <w:rFonts w:asciiTheme="minorHAnsi" w:hAnsiTheme="minorHAnsi"/>
                <w:b w:val="0"/>
                <w:color w:val="auto"/>
                <w:lang w:eastAsia="en-US"/>
              </w:rPr>
              <w:tab/>
            </w:r>
            <w:r w:rsidR="00287574" w:rsidRPr="00287574">
              <w:rPr>
                <w:rStyle w:val="Lienhypertexte"/>
              </w:rPr>
              <w:t>Montage du dispositif de recharge</w:t>
            </w:r>
            <w:r w:rsidR="00287574" w:rsidRPr="00287574">
              <w:rPr>
                <w:webHidden/>
              </w:rPr>
              <w:tab/>
            </w:r>
            <w:r w:rsidR="00287574" w:rsidRPr="00287574">
              <w:rPr>
                <w:webHidden/>
              </w:rPr>
              <w:fldChar w:fldCharType="begin"/>
            </w:r>
            <w:r w:rsidR="00287574" w:rsidRPr="00287574">
              <w:rPr>
                <w:webHidden/>
              </w:rPr>
              <w:instrText xml:space="preserve"> PAGEREF _Toc40432350 \h </w:instrText>
            </w:r>
            <w:r w:rsidR="00287574" w:rsidRPr="00287574">
              <w:rPr>
                <w:webHidden/>
              </w:rPr>
            </w:r>
            <w:r w:rsidR="00287574" w:rsidRPr="00287574">
              <w:rPr>
                <w:webHidden/>
              </w:rPr>
              <w:fldChar w:fldCharType="separate"/>
            </w:r>
            <w:r w:rsidR="00287574" w:rsidRPr="00287574">
              <w:rPr>
                <w:webHidden/>
              </w:rPr>
              <w:t>23</w:t>
            </w:r>
            <w:r w:rsidR="00287574" w:rsidRPr="00287574">
              <w:rPr>
                <w:webHidden/>
              </w:rPr>
              <w:fldChar w:fldCharType="end"/>
            </w:r>
          </w:hyperlink>
        </w:p>
        <w:p w14:paraId="07646469" w14:textId="77777777" w:rsidR="00287574" w:rsidRPr="00287574" w:rsidRDefault="00CF7803">
          <w:pPr>
            <w:pStyle w:val="TM3"/>
            <w:rPr>
              <w:rFonts w:asciiTheme="minorHAnsi" w:hAnsiTheme="minorHAnsi"/>
              <w:color w:val="auto"/>
              <w:lang w:eastAsia="en-US"/>
            </w:rPr>
          </w:pPr>
          <w:hyperlink w:anchor="_Toc40432351" w:history="1">
            <w:r w:rsidR="00287574" w:rsidRPr="00287574">
              <w:rPr>
                <w:rStyle w:val="Lienhypertexte"/>
                <w:b/>
                <w:bCs/>
              </w:rPr>
              <w:t>3.5.1.</w:t>
            </w:r>
            <w:r w:rsidR="00287574" w:rsidRPr="00287574">
              <w:rPr>
                <w:rFonts w:asciiTheme="minorHAnsi" w:hAnsiTheme="minorHAnsi"/>
                <w:color w:val="auto"/>
                <w:lang w:eastAsia="en-US"/>
              </w:rPr>
              <w:tab/>
            </w:r>
            <w:r w:rsidR="00287574" w:rsidRPr="00287574">
              <w:rPr>
                <w:rStyle w:val="Lienhypertexte"/>
                <w:b/>
                <w:bCs/>
              </w:rPr>
              <w:t>Enregistrement</w:t>
            </w:r>
            <w:r w:rsidR="00287574" w:rsidRPr="00287574">
              <w:rPr>
                <w:webHidden/>
              </w:rPr>
              <w:tab/>
            </w:r>
            <w:r w:rsidR="00287574" w:rsidRPr="00287574">
              <w:rPr>
                <w:webHidden/>
              </w:rPr>
              <w:fldChar w:fldCharType="begin"/>
            </w:r>
            <w:r w:rsidR="00287574" w:rsidRPr="00287574">
              <w:rPr>
                <w:webHidden/>
              </w:rPr>
              <w:instrText xml:space="preserve"> PAGEREF _Toc40432351 \h </w:instrText>
            </w:r>
            <w:r w:rsidR="00287574" w:rsidRPr="00287574">
              <w:rPr>
                <w:webHidden/>
              </w:rPr>
            </w:r>
            <w:r w:rsidR="00287574" w:rsidRPr="00287574">
              <w:rPr>
                <w:webHidden/>
              </w:rPr>
              <w:fldChar w:fldCharType="separate"/>
            </w:r>
            <w:r w:rsidR="00287574" w:rsidRPr="00287574">
              <w:rPr>
                <w:webHidden/>
              </w:rPr>
              <w:t>23</w:t>
            </w:r>
            <w:r w:rsidR="00287574" w:rsidRPr="00287574">
              <w:rPr>
                <w:webHidden/>
              </w:rPr>
              <w:fldChar w:fldCharType="end"/>
            </w:r>
          </w:hyperlink>
        </w:p>
        <w:p w14:paraId="316CCC03" w14:textId="77777777" w:rsidR="00287574" w:rsidRPr="00287574" w:rsidRDefault="00CF7803">
          <w:pPr>
            <w:pStyle w:val="TM3"/>
            <w:rPr>
              <w:rFonts w:asciiTheme="minorHAnsi" w:hAnsiTheme="minorHAnsi"/>
              <w:color w:val="auto"/>
              <w:lang w:eastAsia="en-US"/>
            </w:rPr>
          </w:pPr>
          <w:hyperlink w:anchor="_Toc40432352" w:history="1">
            <w:r w:rsidR="00287574" w:rsidRPr="00287574">
              <w:rPr>
                <w:rStyle w:val="Lienhypertexte"/>
                <w:b/>
                <w:bCs/>
              </w:rPr>
              <w:t>3.5.2.</w:t>
            </w:r>
            <w:r w:rsidR="00287574" w:rsidRPr="00287574">
              <w:rPr>
                <w:rFonts w:asciiTheme="minorHAnsi" w:hAnsiTheme="minorHAnsi"/>
                <w:color w:val="auto"/>
                <w:lang w:eastAsia="en-US"/>
              </w:rPr>
              <w:tab/>
            </w:r>
            <w:r w:rsidR="00287574" w:rsidRPr="00287574">
              <w:rPr>
                <w:rStyle w:val="Lienhypertexte"/>
                <w:b/>
                <w:bCs/>
              </w:rPr>
              <w:t>Mise en service</w:t>
            </w:r>
            <w:r w:rsidR="00287574" w:rsidRPr="00287574">
              <w:rPr>
                <w:webHidden/>
              </w:rPr>
              <w:tab/>
            </w:r>
            <w:r w:rsidR="00287574" w:rsidRPr="00287574">
              <w:rPr>
                <w:webHidden/>
              </w:rPr>
              <w:fldChar w:fldCharType="begin"/>
            </w:r>
            <w:r w:rsidR="00287574" w:rsidRPr="00287574">
              <w:rPr>
                <w:webHidden/>
              </w:rPr>
              <w:instrText xml:space="preserve"> PAGEREF _Toc40432352 \h </w:instrText>
            </w:r>
            <w:r w:rsidR="00287574" w:rsidRPr="00287574">
              <w:rPr>
                <w:webHidden/>
              </w:rPr>
            </w:r>
            <w:r w:rsidR="00287574" w:rsidRPr="00287574">
              <w:rPr>
                <w:webHidden/>
              </w:rPr>
              <w:fldChar w:fldCharType="separate"/>
            </w:r>
            <w:r w:rsidR="00287574" w:rsidRPr="00287574">
              <w:rPr>
                <w:webHidden/>
              </w:rPr>
              <w:t>23</w:t>
            </w:r>
            <w:r w:rsidR="00287574" w:rsidRPr="00287574">
              <w:rPr>
                <w:webHidden/>
              </w:rPr>
              <w:fldChar w:fldCharType="end"/>
            </w:r>
          </w:hyperlink>
        </w:p>
        <w:p w14:paraId="35DB6DF3" w14:textId="77777777" w:rsidR="00287574" w:rsidRPr="00287574" w:rsidRDefault="00CF7803">
          <w:pPr>
            <w:pStyle w:val="TM3"/>
            <w:rPr>
              <w:rFonts w:asciiTheme="minorHAnsi" w:hAnsiTheme="minorHAnsi"/>
              <w:color w:val="auto"/>
              <w:lang w:eastAsia="en-US"/>
            </w:rPr>
          </w:pPr>
          <w:hyperlink w:anchor="_Toc40432353" w:history="1">
            <w:r w:rsidR="00287574" w:rsidRPr="00287574">
              <w:rPr>
                <w:rStyle w:val="Lienhypertexte"/>
                <w:b/>
                <w:bCs/>
              </w:rPr>
              <w:t>3.5.3.</w:t>
            </w:r>
            <w:r w:rsidR="00287574" w:rsidRPr="00287574">
              <w:rPr>
                <w:rFonts w:asciiTheme="minorHAnsi" w:hAnsiTheme="minorHAnsi"/>
                <w:color w:val="auto"/>
                <w:lang w:eastAsia="en-US"/>
              </w:rPr>
              <w:tab/>
            </w:r>
            <w:r w:rsidR="00287574" w:rsidRPr="00287574">
              <w:rPr>
                <w:rStyle w:val="Lienhypertexte"/>
                <w:b/>
                <w:bCs/>
              </w:rPr>
              <w:t>Maintenance</w:t>
            </w:r>
            <w:r w:rsidR="00287574" w:rsidRPr="00287574">
              <w:rPr>
                <w:webHidden/>
              </w:rPr>
              <w:tab/>
            </w:r>
            <w:r w:rsidR="00287574" w:rsidRPr="00287574">
              <w:rPr>
                <w:webHidden/>
              </w:rPr>
              <w:fldChar w:fldCharType="begin"/>
            </w:r>
            <w:r w:rsidR="00287574" w:rsidRPr="00287574">
              <w:rPr>
                <w:webHidden/>
              </w:rPr>
              <w:instrText xml:space="preserve"> PAGEREF _Toc40432353 \h </w:instrText>
            </w:r>
            <w:r w:rsidR="00287574" w:rsidRPr="00287574">
              <w:rPr>
                <w:webHidden/>
              </w:rPr>
            </w:r>
            <w:r w:rsidR="00287574" w:rsidRPr="00287574">
              <w:rPr>
                <w:webHidden/>
              </w:rPr>
              <w:fldChar w:fldCharType="separate"/>
            </w:r>
            <w:r w:rsidR="00287574" w:rsidRPr="00287574">
              <w:rPr>
                <w:webHidden/>
              </w:rPr>
              <w:t>23</w:t>
            </w:r>
            <w:r w:rsidR="00287574" w:rsidRPr="00287574">
              <w:rPr>
                <w:webHidden/>
              </w:rPr>
              <w:fldChar w:fldCharType="end"/>
            </w:r>
          </w:hyperlink>
        </w:p>
        <w:p w14:paraId="3E15DB78" w14:textId="77777777" w:rsidR="00287574" w:rsidRPr="00287574" w:rsidRDefault="00CF7803">
          <w:pPr>
            <w:pStyle w:val="TM2"/>
            <w:rPr>
              <w:rFonts w:asciiTheme="minorHAnsi" w:hAnsiTheme="minorHAnsi"/>
              <w:b w:val="0"/>
              <w:color w:val="auto"/>
              <w:lang w:eastAsia="en-US"/>
            </w:rPr>
          </w:pPr>
          <w:hyperlink w:anchor="_Toc40432354" w:history="1">
            <w:r w:rsidR="00287574" w:rsidRPr="00287574">
              <w:rPr>
                <w:rStyle w:val="Lienhypertexte"/>
              </w:rPr>
              <w:t>3.6.</w:t>
            </w:r>
            <w:r w:rsidR="00287574" w:rsidRPr="00287574">
              <w:rPr>
                <w:rFonts w:asciiTheme="minorHAnsi" w:hAnsiTheme="minorHAnsi"/>
                <w:b w:val="0"/>
                <w:color w:val="auto"/>
                <w:lang w:eastAsia="en-US"/>
              </w:rPr>
              <w:tab/>
            </w:r>
            <w:r w:rsidR="00287574" w:rsidRPr="00287574">
              <w:rPr>
                <w:rStyle w:val="Lienhypertexte"/>
              </w:rPr>
              <w:t>Règles et normes techniques</w:t>
            </w:r>
            <w:r w:rsidR="00287574" w:rsidRPr="00287574">
              <w:rPr>
                <w:webHidden/>
              </w:rPr>
              <w:tab/>
            </w:r>
            <w:r w:rsidR="00287574" w:rsidRPr="00287574">
              <w:rPr>
                <w:webHidden/>
              </w:rPr>
              <w:fldChar w:fldCharType="begin"/>
            </w:r>
            <w:r w:rsidR="00287574" w:rsidRPr="00287574">
              <w:rPr>
                <w:webHidden/>
              </w:rPr>
              <w:instrText xml:space="preserve"> PAGEREF _Toc40432354 \h </w:instrText>
            </w:r>
            <w:r w:rsidR="00287574" w:rsidRPr="00287574">
              <w:rPr>
                <w:webHidden/>
              </w:rPr>
            </w:r>
            <w:r w:rsidR="00287574" w:rsidRPr="00287574">
              <w:rPr>
                <w:webHidden/>
              </w:rPr>
              <w:fldChar w:fldCharType="separate"/>
            </w:r>
            <w:r w:rsidR="00287574" w:rsidRPr="00287574">
              <w:rPr>
                <w:webHidden/>
              </w:rPr>
              <w:t>23</w:t>
            </w:r>
            <w:r w:rsidR="00287574" w:rsidRPr="00287574">
              <w:rPr>
                <w:webHidden/>
              </w:rPr>
              <w:fldChar w:fldCharType="end"/>
            </w:r>
          </w:hyperlink>
        </w:p>
        <w:p w14:paraId="67915C6A" w14:textId="77777777" w:rsidR="00287574" w:rsidRPr="00287574" w:rsidRDefault="00CF7803">
          <w:pPr>
            <w:pStyle w:val="TM2"/>
            <w:rPr>
              <w:rFonts w:asciiTheme="minorHAnsi" w:hAnsiTheme="minorHAnsi"/>
              <w:b w:val="0"/>
              <w:color w:val="auto"/>
              <w:lang w:eastAsia="en-US"/>
            </w:rPr>
          </w:pPr>
          <w:hyperlink w:anchor="_Toc40432355" w:history="1">
            <w:r w:rsidR="00287574" w:rsidRPr="00287574">
              <w:rPr>
                <w:rStyle w:val="Lienhypertexte"/>
              </w:rPr>
              <w:t>3.7.</w:t>
            </w:r>
            <w:r w:rsidR="00287574" w:rsidRPr="00287574">
              <w:rPr>
                <w:rFonts w:asciiTheme="minorHAnsi" w:hAnsiTheme="minorHAnsi"/>
                <w:b w:val="0"/>
                <w:color w:val="auto"/>
                <w:lang w:eastAsia="en-US"/>
              </w:rPr>
              <w:tab/>
            </w:r>
            <w:r w:rsidR="00287574" w:rsidRPr="00287574">
              <w:rPr>
                <w:rStyle w:val="Lienhypertexte"/>
              </w:rPr>
              <w:t>Obligations légales</w:t>
            </w:r>
            <w:r w:rsidR="00287574" w:rsidRPr="00287574">
              <w:rPr>
                <w:webHidden/>
              </w:rPr>
              <w:tab/>
            </w:r>
            <w:r w:rsidR="00287574" w:rsidRPr="00287574">
              <w:rPr>
                <w:webHidden/>
              </w:rPr>
              <w:fldChar w:fldCharType="begin"/>
            </w:r>
            <w:r w:rsidR="00287574" w:rsidRPr="00287574">
              <w:rPr>
                <w:webHidden/>
              </w:rPr>
              <w:instrText xml:space="preserve"> PAGEREF _Toc40432355 \h </w:instrText>
            </w:r>
            <w:r w:rsidR="00287574" w:rsidRPr="00287574">
              <w:rPr>
                <w:webHidden/>
              </w:rPr>
            </w:r>
            <w:r w:rsidR="00287574" w:rsidRPr="00287574">
              <w:rPr>
                <w:webHidden/>
              </w:rPr>
              <w:fldChar w:fldCharType="separate"/>
            </w:r>
            <w:r w:rsidR="00287574" w:rsidRPr="00287574">
              <w:rPr>
                <w:webHidden/>
              </w:rPr>
              <w:t>24</w:t>
            </w:r>
            <w:r w:rsidR="00287574" w:rsidRPr="00287574">
              <w:rPr>
                <w:webHidden/>
              </w:rPr>
              <w:fldChar w:fldCharType="end"/>
            </w:r>
          </w:hyperlink>
        </w:p>
        <w:p w14:paraId="4E9335D5" w14:textId="77777777" w:rsidR="00287574" w:rsidRPr="00287574" w:rsidRDefault="00CF7803">
          <w:pPr>
            <w:pStyle w:val="TM1"/>
            <w:tabs>
              <w:tab w:val="left" w:pos="442"/>
            </w:tabs>
            <w:rPr>
              <w:rFonts w:asciiTheme="minorHAnsi" w:hAnsiTheme="minorHAnsi"/>
              <w:b w:val="0"/>
              <w:color w:val="auto"/>
              <w:sz w:val="22"/>
              <w:lang w:eastAsia="en-US"/>
            </w:rPr>
          </w:pPr>
          <w:hyperlink w:anchor="_Toc40432356" w:history="1">
            <w:r w:rsidR="00287574" w:rsidRPr="00287574">
              <w:rPr>
                <w:rStyle w:val="Lienhypertexte"/>
              </w:rPr>
              <w:t>4.</w:t>
            </w:r>
            <w:r w:rsidR="00287574" w:rsidRPr="00287574">
              <w:rPr>
                <w:rFonts w:asciiTheme="minorHAnsi" w:hAnsiTheme="minorHAnsi"/>
                <w:b w:val="0"/>
                <w:color w:val="auto"/>
                <w:sz w:val="22"/>
                <w:lang w:eastAsia="en-US"/>
              </w:rPr>
              <w:tab/>
            </w:r>
            <w:r w:rsidR="00287574" w:rsidRPr="00287574">
              <w:rPr>
                <w:rStyle w:val="Lienhypertexte"/>
              </w:rPr>
              <w:t>Communication</w:t>
            </w:r>
            <w:r w:rsidR="00287574" w:rsidRPr="00287574">
              <w:rPr>
                <w:webHidden/>
              </w:rPr>
              <w:tab/>
            </w:r>
            <w:r w:rsidR="00287574" w:rsidRPr="00287574">
              <w:rPr>
                <w:webHidden/>
              </w:rPr>
              <w:fldChar w:fldCharType="begin"/>
            </w:r>
            <w:r w:rsidR="00287574" w:rsidRPr="00287574">
              <w:rPr>
                <w:webHidden/>
              </w:rPr>
              <w:instrText xml:space="preserve"> PAGEREF _Toc40432356 \h </w:instrText>
            </w:r>
            <w:r w:rsidR="00287574" w:rsidRPr="00287574">
              <w:rPr>
                <w:webHidden/>
              </w:rPr>
            </w:r>
            <w:r w:rsidR="00287574" w:rsidRPr="00287574">
              <w:rPr>
                <w:webHidden/>
              </w:rPr>
              <w:fldChar w:fldCharType="separate"/>
            </w:r>
            <w:r w:rsidR="00287574" w:rsidRPr="00287574">
              <w:rPr>
                <w:webHidden/>
              </w:rPr>
              <w:t>25</w:t>
            </w:r>
            <w:r w:rsidR="00287574" w:rsidRPr="00287574">
              <w:rPr>
                <w:webHidden/>
              </w:rPr>
              <w:fldChar w:fldCharType="end"/>
            </w:r>
          </w:hyperlink>
        </w:p>
        <w:p w14:paraId="008518BB" w14:textId="77777777" w:rsidR="00287574" w:rsidRPr="00287574" w:rsidRDefault="00CF7803">
          <w:pPr>
            <w:pStyle w:val="TM2"/>
            <w:rPr>
              <w:rFonts w:asciiTheme="minorHAnsi" w:hAnsiTheme="minorHAnsi"/>
              <w:b w:val="0"/>
              <w:color w:val="auto"/>
              <w:lang w:eastAsia="en-US"/>
            </w:rPr>
          </w:pPr>
          <w:hyperlink w:anchor="_Toc40432357" w:history="1">
            <w:r w:rsidR="00287574" w:rsidRPr="00287574">
              <w:rPr>
                <w:rStyle w:val="Lienhypertexte"/>
              </w:rPr>
              <w:t>4.1.</w:t>
            </w:r>
            <w:r w:rsidR="00287574" w:rsidRPr="00287574">
              <w:rPr>
                <w:rFonts w:asciiTheme="minorHAnsi" w:hAnsiTheme="minorHAnsi"/>
                <w:b w:val="0"/>
                <w:color w:val="auto"/>
                <w:lang w:eastAsia="en-US"/>
              </w:rPr>
              <w:tab/>
            </w:r>
            <w:r w:rsidR="00287574" w:rsidRPr="00287574">
              <w:rPr>
                <w:rStyle w:val="Lienhypertexte"/>
              </w:rPr>
              <w:t>Commande</w:t>
            </w:r>
            <w:r w:rsidR="00287574" w:rsidRPr="00287574">
              <w:rPr>
                <w:webHidden/>
              </w:rPr>
              <w:tab/>
            </w:r>
            <w:r w:rsidR="00287574" w:rsidRPr="00287574">
              <w:rPr>
                <w:webHidden/>
              </w:rPr>
              <w:fldChar w:fldCharType="begin"/>
            </w:r>
            <w:r w:rsidR="00287574" w:rsidRPr="00287574">
              <w:rPr>
                <w:webHidden/>
              </w:rPr>
              <w:instrText xml:space="preserve"> PAGEREF _Toc40432357 \h </w:instrText>
            </w:r>
            <w:r w:rsidR="00287574" w:rsidRPr="00287574">
              <w:rPr>
                <w:webHidden/>
              </w:rPr>
            </w:r>
            <w:r w:rsidR="00287574" w:rsidRPr="00287574">
              <w:rPr>
                <w:webHidden/>
              </w:rPr>
              <w:fldChar w:fldCharType="separate"/>
            </w:r>
            <w:r w:rsidR="00287574" w:rsidRPr="00287574">
              <w:rPr>
                <w:webHidden/>
              </w:rPr>
              <w:t>25</w:t>
            </w:r>
            <w:r w:rsidR="00287574" w:rsidRPr="00287574">
              <w:rPr>
                <w:webHidden/>
              </w:rPr>
              <w:fldChar w:fldCharType="end"/>
            </w:r>
          </w:hyperlink>
        </w:p>
        <w:p w14:paraId="0D126413" w14:textId="77777777" w:rsidR="00287574" w:rsidRPr="00287574" w:rsidRDefault="00CF7803">
          <w:pPr>
            <w:pStyle w:val="TM2"/>
            <w:rPr>
              <w:rFonts w:asciiTheme="minorHAnsi" w:hAnsiTheme="minorHAnsi"/>
              <w:b w:val="0"/>
              <w:color w:val="auto"/>
              <w:lang w:eastAsia="en-US"/>
            </w:rPr>
          </w:pPr>
          <w:hyperlink w:anchor="_Toc40432358" w:history="1">
            <w:r w:rsidR="00287574" w:rsidRPr="00287574">
              <w:rPr>
                <w:rStyle w:val="Lienhypertexte"/>
              </w:rPr>
              <w:t>4.2.</w:t>
            </w:r>
            <w:r w:rsidR="00287574" w:rsidRPr="00287574">
              <w:rPr>
                <w:rFonts w:asciiTheme="minorHAnsi" w:hAnsiTheme="minorHAnsi"/>
                <w:b w:val="0"/>
                <w:color w:val="auto"/>
                <w:lang w:eastAsia="en-US"/>
              </w:rPr>
              <w:tab/>
            </w:r>
            <w:r w:rsidR="00287574" w:rsidRPr="00287574">
              <w:rPr>
                <w:rStyle w:val="Lienhypertexte"/>
              </w:rPr>
              <w:t>Gestion de la charge</w:t>
            </w:r>
            <w:r w:rsidR="00287574" w:rsidRPr="00287574">
              <w:rPr>
                <w:webHidden/>
              </w:rPr>
              <w:tab/>
            </w:r>
            <w:r w:rsidR="00287574" w:rsidRPr="00287574">
              <w:rPr>
                <w:webHidden/>
              </w:rPr>
              <w:fldChar w:fldCharType="begin"/>
            </w:r>
            <w:r w:rsidR="00287574" w:rsidRPr="00287574">
              <w:rPr>
                <w:webHidden/>
              </w:rPr>
              <w:instrText xml:space="preserve"> PAGEREF _Toc40432358 \h </w:instrText>
            </w:r>
            <w:r w:rsidR="00287574" w:rsidRPr="00287574">
              <w:rPr>
                <w:webHidden/>
              </w:rPr>
            </w:r>
            <w:r w:rsidR="00287574" w:rsidRPr="00287574">
              <w:rPr>
                <w:webHidden/>
              </w:rPr>
              <w:fldChar w:fldCharType="separate"/>
            </w:r>
            <w:r w:rsidR="00287574" w:rsidRPr="00287574">
              <w:rPr>
                <w:webHidden/>
              </w:rPr>
              <w:t>26</w:t>
            </w:r>
            <w:r w:rsidR="00287574" w:rsidRPr="00287574">
              <w:rPr>
                <w:webHidden/>
              </w:rPr>
              <w:fldChar w:fldCharType="end"/>
            </w:r>
          </w:hyperlink>
        </w:p>
        <w:p w14:paraId="1595F1D7" w14:textId="77777777" w:rsidR="00287574" w:rsidRPr="00287574" w:rsidRDefault="00CF7803">
          <w:pPr>
            <w:pStyle w:val="TM1"/>
            <w:tabs>
              <w:tab w:val="left" w:pos="442"/>
            </w:tabs>
            <w:rPr>
              <w:rFonts w:asciiTheme="minorHAnsi" w:hAnsiTheme="minorHAnsi"/>
              <w:b w:val="0"/>
              <w:color w:val="auto"/>
              <w:sz w:val="22"/>
              <w:lang w:eastAsia="en-US"/>
            </w:rPr>
          </w:pPr>
          <w:hyperlink w:anchor="_Toc40432359" w:history="1">
            <w:r w:rsidR="00287574" w:rsidRPr="00287574">
              <w:rPr>
                <w:rStyle w:val="Lienhypertexte"/>
              </w:rPr>
              <w:t>5.</w:t>
            </w:r>
            <w:r w:rsidR="00287574" w:rsidRPr="00287574">
              <w:rPr>
                <w:rFonts w:asciiTheme="minorHAnsi" w:hAnsiTheme="minorHAnsi"/>
                <w:b w:val="0"/>
                <w:color w:val="auto"/>
                <w:sz w:val="22"/>
                <w:lang w:eastAsia="en-US"/>
              </w:rPr>
              <w:tab/>
            </w:r>
            <w:r w:rsidR="00287574" w:rsidRPr="00287574">
              <w:rPr>
                <w:rStyle w:val="Lienhypertexte"/>
              </w:rPr>
              <w:t>Recommandations</w:t>
            </w:r>
            <w:r w:rsidR="00287574" w:rsidRPr="00287574">
              <w:rPr>
                <w:webHidden/>
              </w:rPr>
              <w:tab/>
            </w:r>
            <w:r w:rsidR="00287574" w:rsidRPr="00287574">
              <w:rPr>
                <w:webHidden/>
              </w:rPr>
              <w:fldChar w:fldCharType="begin"/>
            </w:r>
            <w:r w:rsidR="00287574" w:rsidRPr="00287574">
              <w:rPr>
                <w:webHidden/>
              </w:rPr>
              <w:instrText xml:space="preserve"> PAGEREF _Toc40432359 \h </w:instrText>
            </w:r>
            <w:r w:rsidR="00287574" w:rsidRPr="00287574">
              <w:rPr>
                <w:webHidden/>
              </w:rPr>
            </w:r>
            <w:r w:rsidR="00287574" w:rsidRPr="00287574">
              <w:rPr>
                <w:webHidden/>
              </w:rPr>
              <w:fldChar w:fldCharType="separate"/>
            </w:r>
            <w:r w:rsidR="00287574" w:rsidRPr="00287574">
              <w:rPr>
                <w:webHidden/>
              </w:rPr>
              <w:t>28</w:t>
            </w:r>
            <w:r w:rsidR="00287574" w:rsidRPr="00287574">
              <w:rPr>
                <w:webHidden/>
              </w:rPr>
              <w:fldChar w:fldCharType="end"/>
            </w:r>
          </w:hyperlink>
        </w:p>
        <w:p w14:paraId="346B8848" w14:textId="77777777" w:rsidR="00287574" w:rsidRPr="00287574" w:rsidRDefault="00CF7803">
          <w:pPr>
            <w:pStyle w:val="TM2"/>
            <w:rPr>
              <w:rFonts w:asciiTheme="minorHAnsi" w:hAnsiTheme="minorHAnsi"/>
              <w:b w:val="0"/>
              <w:color w:val="auto"/>
              <w:lang w:eastAsia="en-US"/>
            </w:rPr>
          </w:pPr>
          <w:hyperlink w:anchor="_Toc40432360" w:history="1">
            <w:r w:rsidR="00287574" w:rsidRPr="00287574">
              <w:rPr>
                <w:rStyle w:val="Lienhypertexte"/>
              </w:rPr>
              <w:t>5.1.</w:t>
            </w:r>
            <w:r w:rsidR="00287574" w:rsidRPr="00287574">
              <w:rPr>
                <w:rFonts w:asciiTheme="minorHAnsi" w:hAnsiTheme="minorHAnsi"/>
                <w:b w:val="0"/>
                <w:color w:val="auto"/>
                <w:lang w:eastAsia="en-US"/>
              </w:rPr>
              <w:tab/>
            </w:r>
            <w:r w:rsidR="00287574" w:rsidRPr="00287574">
              <w:rPr>
                <w:rStyle w:val="Lienhypertexte"/>
              </w:rPr>
              <w:t>Recommandations générales</w:t>
            </w:r>
            <w:r w:rsidR="00287574" w:rsidRPr="00287574">
              <w:rPr>
                <w:webHidden/>
              </w:rPr>
              <w:tab/>
            </w:r>
            <w:r w:rsidR="00287574" w:rsidRPr="00287574">
              <w:rPr>
                <w:webHidden/>
              </w:rPr>
              <w:fldChar w:fldCharType="begin"/>
            </w:r>
            <w:r w:rsidR="00287574" w:rsidRPr="00287574">
              <w:rPr>
                <w:webHidden/>
              </w:rPr>
              <w:instrText xml:space="preserve"> PAGEREF _Toc40432360 \h </w:instrText>
            </w:r>
            <w:r w:rsidR="00287574" w:rsidRPr="00287574">
              <w:rPr>
                <w:webHidden/>
              </w:rPr>
            </w:r>
            <w:r w:rsidR="00287574" w:rsidRPr="00287574">
              <w:rPr>
                <w:webHidden/>
              </w:rPr>
              <w:fldChar w:fldCharType="separate"/>
            </w:r>
            <w:r w:rsidR="00287574" w:rsidRPr="00287574">
              <w:rPr>
                <w:webHidden/>
              </w:rPr>
              <w:t>28</w:t>
            </w:r>
            <w:r w:rsidR="00287574" w:rsidRPr="00287574">
              <w:rPr>
                <w:webHidden/>
              </w:rPr>
              <w:fldChar w:fldCharType="end"/>
            </w:r>
          </w:hyperlink>
        </w:p>
        <w:p w14:paraId="1C57F2B6" w14:textId="77777777" w:rsidR="00287574" w:rsidRPr="00287574" w:rsidRDefault="00CF7803">
          <w:pPr>
            <w:pStyle w:val="TM2"/>
            <w:rPr>
              <w:rFonts w:asciiTheme="minorHAnsi" w:hAnsiTheme="minorHAnsi"/>
              <w:b w:val="0"/>
              <w:color w:val="auto"/>
              <w:lang w:eastAsia="en-US"/>
            </w:rPr>
          </w:pPr>
          <w:hyperlink w:anchor="_Toc40432361" w:history="1">
            <w:r w:rsidR="00287574" w:rsidRPr="00287574">
              <w:rPr>
                <w:rStyle w:val="Lienhypertexte"/>
              </w:rPr>
              <w:t>5.2.</w:t>
            </w:r>
            <w:r w:rsidR="00287574" w:rsidRPr="00287574">
              <w:rPr>
                <w:rFonts w:asciiTheme="minorHAnsi" w:hAnsiTheme="minorHAnsi"/>
                <w:b w:val="0"/>
                <w:color w:val="auto"/>
                <w:lang w:eastAsia="en-US"/>
              </w:rPr>
              <w:tab/>
            </w:r>
            <w:r w:rsidR="00287574" w:rsidRPr="00287574">
              <w:rPr>
                <w:rStyle w:val="Lienhypertexte"/>
              </w:rPr>
              <w:t>Supplément pour les bâtiments existants</w:t>
            </w:r>
            <w:r w:rsidR="00287574" w:rsidRPr="00287574">
              <w:rPr>
                <w:webHidden/>
              </w:rPr>
              <w:tab/>
            </w:r>
            <w:r w:rsidR="00287574" w:rsidRPr="00287574">
              <w:rPr>
                <w:webHidden/>
              </w:rPr>
              <w:fldChar w:fldCharType="begin"/>
            </w:r>
            <w:r w:rsidR="00287574" w:rsidRPr="00287574">
              <w:rPr>
                <w:webHidden/>
              </w:rPr>
              <w:instrText xml:space="preserve"> PAGEREF _Toc40432361 \h </w:instrText>
            </w:r>
            <w:r w:rsidR="00287574" w:rsidRPr="00287574">
              <w:rPr>
                <w:webHidden/>
              </w:rPr>
            </w:r>
            <w:r w:rsidR="00287574" w:rsidRPr="00287574">
              <w:rPr>
                <w:webHidden/>
              </w:rPr>
              <w:fldChar w:fldCharType="separate"/>
            </w:r>
            <w:r w:rsidR="00287574" w:rsidRPr="00287574">
              <w:rPr>
                <w:webHidden/>
              </w:rPr>
              <w:t>29</w:t>
            </w:r>
            <w:r w:rsidR="00287574" w:rsidRPr="00287574">
              <w:rPr>
                <w:webHidden/>
              </w:rPr>
              <w:fldChar w:fldCharType="end"/>
            </w:r>
          </w:hyperlink>
        </w:p>
        <w:p w14:paraId="7506E2F4" w14:textId="77777777" w:rsidR="00287574" w:rsidRPr="00287574" w:rsidRDefault="00CF7803">
          <w:pPr>
            <w:pStyle w:val="TM1"/>
            <w:tabs>
              <w:tab w:val="left" w:pos="442"/>
            </w:tabs>
            <w:rPr>
              <w:rFonts w:asciiTheme="minorHAnsi" w:hAnsiTheme="minorHAnsi"/>
              <w:b w:val="0"/>
              <w:color w:val="auto"/>
              <w:sz w:val="22"/>
              <w:lang w:eastAsia="en-US"/>
            </w:rPr>
          </w:pPr>
          <w:hyperlink w:anchor="_Toc40432362" w:history="1">
            <w:r w:rsidR="00287574" w:rsidRPr="00287574">
              <w:rPr>
                <w:rStyle w:val="Lienhypertexte"/>
                <w:rFonts w:eastAsia="Times New Roman"/>
              </w:rPr>
              <w:t>6.</w:t>
            </w:r>
            <w:r w:rsidR="00287574" w:rsidRPr="00287574">
              <w:rPr>
                <w:rFonts w:asciiTheme="minorHAnsi" w:hAnsiTheme="minorHAnsi"/>
                <w:b w:val="0"/>
                <w:color w:val="auto"/>
                <w:sz w:val="22"/>
                <w:lang w:eastAsia="en-US"/>
              </w:rPr>
              <w:tab/>
            </w:r>
            <w:r w:rsidR="00287574" w:rsidRPr="00287574">
              <w:rPr>
                <w:rStyle w:val="Lienhypertexte"/>
              </w:rPr>
              <w:t>Interlocuteurs</w:t>
            </w:r>
            <w:r w:rsidR="00287574" w:rsidRPr="00287574">
              <w:rPr>
                <w:webHidden/>
              </w:rPr>
              <w:tab/>
            </w:r>
            <w:r w:rsidR="00287574" w:rsidRPr="00287574">
              <w:rPr>
                <w:webHidden/>
              </w:rPr>
              <w:fldChar w:fldCharType="begin"/>
            </w:r>
            <w:r w:rsidR="00287574" w:rsidRPr="00287574">
              <w:rPr>
                <w:webHidden/>
              </w:rPr>
              <w:instrText xml:space="preserve"> PAGEREF _Toc40432362 \h </w:instrText>
            </w:r>
            <w:r w:rsidR="00287574" w:rsidRPr="00287574">
              <w:rPr>
                <w:webHidden/>
              </w:rPr>
            </w:r>
            <w:r w:rsidR="00287574" w:rsidRPr="00287574">
              <w:rPr>
                <w:webHidden/>
              </w:rPr>
              <w:fldChar w:fldCharType="separate"/>
            </w:r>
            <w:r w:rsidR="00287574" w:rsidRPr="00287574">
              <w:rPr>
                <w:webHidden/>
              </w:rPr>
              <w:t>29</w:t>
            </w:r>
            <w:r w:rsidR="00287574" w:rsidRPr="00287574">
              <w:rPr>
                <w:webHidden/>
              </w:rPr>
              <w:fldChar w:fldCharType="end"/>
            </w:r>
          </w:hyperlink>
        </w:p>
        <w:p w14:paraId="243DA0FE" w14:textId="77777777" w:rsidR="00287574" w:rsidRPr="00287574" w:rsidRDefault="00CF7803">
          <w:pPr>
            <w:pStyle w:val="TM1"/>
            <w:tabs>
              <w:tab w:val="left" w:pos="442"/>
            </w:tabs>
            <w:rPr>
              <w:rFonts w:asciiTheme="minorHAnsi" w:hAnsiTheme="minorHAnsi"/>
              <w:b w:val="0"/>
              <w:color w:val="auto"/>
              <w:sz w:val="22"/>
              <w:lang w:eastAsia="en-US"/>
            </w:rPr>
          </w:pPr>
          <w:hyperlink w:anchor="_Toc40432363" w:history="1">
            <w:r w:rsidR="00287574" w:rsidRPr="00287574">
              <w:rPr>
                <w:rStyle w:val="Lienhypertexte"/>
              </w:rPr>
              <w:t>7.</w:t>
            </w:r>
            <w:r w:rsidR="00287574" w:rsidRPr="00287574">
              <w:rPr>
                <w:rFonts w:asciiTheme="minorHAnsi" w:hAnsiTheme="minorHAnsi"/>
                <w:b w:val="0"/>
                <w:color w:val="auto"/>
                <w:sz w:val="22"/>
                <w:lang w:eastAsia="en-US"/>
              </w:rPr>
              <w:tab/>
            </w:r>
            <w:r w:rsidR="00287574" w:rsidRPr="00287574">
              <w:rPr>
                <w:rStyle w:val="Lienhypertexte"/>
              </w:rPr>
              <w:t>Annexe 1 : Présentation des normes et protocoles de charge</w:t>
            </w:r>
            <w:r w:rsidR="00287574" w:rsidRPr="00287574">
              <w:rPr>
                <w:webHidden/>
              </w:rPr>
              <w:tab/>
            </w:r>
            <w:r w:rsidR="00287574" w:rsidRPr="00287574">
              <w:rPr>
                <w:webHidden/>
              </w:rPr>
              <w:fldChar w:fldCharType="begin"/>
            </w:r>
            <w:r w:rsidR="00287574" w:rsidRPr="00287574">
              <w:rPr>
                <w:webHidden/>
              </w:rPr>
              <w:instrText xml:space="preserve"> PAGEREF _Toc40432363 \h </w:instrText>
            </w:r>
            <w:r w:rsidR="00287574" w:rsidRPr="00287574">
              <w:rPr>
                <w:webHidden/>
              </w:rPr>
            </w:r>
            <w:r w:rsidR="00287574" w:rsidRPr="00287574">
              <w:rPr>
                <w:webHidden/>
              </w:rPr>
              <w:fldChar w:fldCharType="separate"/>
            </w:r>
            <w:r w:rsidR="00287574" w:rsidRPr="00287574">
              <w:rPr>
                <w:webHidden/>
              </w:rPr>
              <w:t>30</w:t>
            </w:r>
            <w:r w:rsidR="00287574" w:rsidRPr="00287574">
              <w:rPr>
                <w:webHidden/>
              </w:rPr>
              <w:fldChar w:fldCharType="end"/>
            </w:r>
          </w:hyperlink>
        </w:p>
        <w:p w14:paraId="5D4982E5" w14:textId="6F7D83B0" w:rsidR="00D76674" w:rsidRPr="00287574" w:rsidRDefault="00D76674" w:rsidP="003750E9">
          <w:pPr>
            <w:jc w:val="left"/>
            <w:rPr>
              <w:rFonts w:cs="Arial"/>
              <w:color w:val="auto"/>
            </w:rPr>
          </w:pPr>
          <w:r w:rsidRPr="00287574">
            <w:rPr>
              <w:rFonts w:cs="Arial"/>
              <w:b/>
              <w:bCs/>
              <w:color w:val="auto"/>
            </w:rPr>
            <w:fldChar w:fldCharType="end"/>
          </w:r>
        </w:p>
      </w:sdtContent>
    </w:sdt>
    <w:p w14:paraId="347EC4A3" w14:textId="77777777" w:rsidR="00FA1A7C" w:rsidRPr="00287574" w:rsidRDefault="00FA1A7C" w:rsidP="00FA1A7C">
      <w:pPr>
        <w:rPr>
          <w:rFonts w:cs="Arial"/>
          <w:b/>
          <w:color w:val="auto"/>
          <w:sz w:val="32"/>
        </w:rPr>
      </w:pPr>
    </w:p>
    <w:p w14:paraId="04DDF405" w14:textId="77777777" w:rsidR="002A5C35" w:rsidRPr="00287574" w:rsidRDefault="002A5C35" w:rsidP="002A5C35">
      <w:pPr>
        <w:spacing w:before="0" w:after="0"/>
        <w:jc w:val="left"/>
        <w:rPr>
          <w:rFonts w:cs="Arial"/>
          <w:b/>
          <w:color w:val="auto"/>
        </w:rPr>
      </w:pPr>
      <w:bookmarkStart w:id="2" w:name="_Toc22731536"/>
    </w:p>
    <w:p w14:paraId="2B7512E6" w14:textId="77777777" w:rsidR="002A5C35" w:rsidRPr="00287574" w:rsidRDefault="002A5C35" w:rsidP="002A5C35">
      <w:pPr>
        <w:spacing w:before="0" w:after="0"/>
        <w:jc w:val="left"/>
        <w:rPr>
          <w:color w:val="auto"/>
        </w:rPr>
      </w:pPr>
    </w:p>
    <w:p w14:paraId="7BC40C27" w14:textId="77777777" w:rsidR="002A5C35" w:rsidRPr="00287574" w:rsidRDefault="002A5C35" w:rsidP="002A5C35">
      <w:pPr>
        <w:spacing w:before="0" w:after="0"/>
        <w:jc w:val="left"/>
        <w:rPr>
          <w:color w:val="auto"/>
        </w:rPr>
      </w:pPr>
    </w:p>
    <w:p w14:paraId="1C7C1EDD" w14:textId="77777777" w:rsidR="002A5C35" w:rsidRPr="00287574" w:rsidRDefault="002A5C35" w:rsidP="002A5C35">
      <w:pPr>
        <w:spacing w:before="0" w:after="0"/>
        <w:jc w:val="left"/>
        <w:rPr>
          <w:color w:val="auto"/>
        </w:rPr>
      </w:pPr>
    </w:p>
    <w:p w14:paraId="29C1E1C3" w14:textId="77777777" w:rsidR="002A5C35" w:rsidRPr="00287574" w:rsidRDefault="002A5C35" w:rsidP="002A5C35">
      <w:pPr>
        <w:spacing w:before="0" w:after="0"/>
        <w:jc w:val="left"/>
        <w:rPr>
          <w:color w:val="auto"/>
        </w:rPr>
      </w:pPr>
    </w:p>
    <w:p w14:paraId="02B7404B" w14:textId="77777777" w:rsidR="002A5C35" w:rsidRPr="00287574" w:rsidRDefault="002A5C35" w:rsidP="002A5C35">
      <w:pPr>
        <w:spacing w:before="0" w:after="0"/>
        <w:jc w:val="left"/>
        <w:rPr>
          <w:color w:val="auto"/>
        </w:rPr>
      </w:pPr>
    </w:p>
    <w:p w14:paraId="2C70DCD3" w14:textId="77777777" w:rsidR="002A5C35" w:rsidRPr="00287574" w:rsidRDefault="002A5C35" w:rsidP="002A5C35">
      <w:pPr>
        <w:spacing w:before="0" w:after="0"/>
        <w:jc w:val="left"/>
        <w:rPr>
          <w:color w:val="auto"/>
        </w:rPr>
      </w:pPr>
    </w:p>
    <w:p w14:paraId="6A857C77" w14:textId="77777777" w:rsidR="002A5C35" w:rsidRPr="00287574" w:rsidRDefault="002A5C35" w:rsidP="002A5C35">
      <w:pPr>
        <w:spacing w:before="0" w:after="0"/>
        <w:jc w:val="left"/>
        <w:rPr>
          <w:color w:val="auto"/>
        </w:rPr>
      </w:pPr>
    </w:p>
    <w:p w14:paraId="3C773A64" w14:textId="77777777" w:rsidR="002A5C35" w:rsidRPr="00287574" w:rsidRDefault="002A5C35" w:rsidP="002A5C35">
      <w:pPr>
        <w:spacing w:before="0" w:after="0"/>
        <w:jc w:val="left"/>
        <w:rPr>
          <w:color w:val="auto"/>
        </w:rPr>
      </w:pPr>
    </w:p>
    <w:p w14:paraId="5BBBA748" w14:textId="77777777" w:rsidR="002A5C35" w:rsidRPr="00287574" w:rsidRDefault="002A5C35" w:rsidP="002A5C35">
      <w:pPr>
        <w:spacing w:before="0" w:after="0"/>
        <w:jc w:val="left"/>
        <w:rPr>
          <w:color w:val="auto"/>
        </w:rPr>
      </w:pPr>
    </w:p>
    <w:p w14:paraId="226512BA" w14:textId="77777777" w:rsidR="002A5C35" w:rsidRPr="00287574" w:rsidRDefault="002A5C35" w:rsidP="002A5C35">
      <w:pPr>
        <w:spacing w:before="0" w:after="0"/>
        <w:jc w:val="left"/>
        <w:rPr>
          <w:color w:val="auto"/>
        </w:rPr>
      </w:pPr>
    </w:p>
    <w:p w14:paraId="10C992EB" w14:textId="77777777" w:rsidR="002A5C35" w:rsidRPr="00287574" w:rsidRDefault="002A5C35" w:rsidP="002A5C35">
      <w:pPr>
        <w:spacing w:before="0" w:after="0"/>
        <w:jc w:val="left"/>
        <w:rPr>
          <w:color w:val="auto"/>
        </w:rPr>
      </w:pPr>
    </w:p>
    <w:p w14:paraId="03A16E8E" w14:textId="77777777" w:rsidR="002A5C35" w:rsidRPr="00287574" w:rsidRDefault="002A5C35" w:rsidP="002A5C35">
      <w:pPr>
        <w:spacing w:before="0" w:after="0"/>
        <w:jc w:val="left"/>
        <w:rPr>
          <w:color w:val="auto"/>
        </w:rPr>
      </w:pPr>
    </w:p>
    <w:p w14:paraId="198AFC6A" w14:textId="77777777" w:rsidR="002A5C35" w:rsidRPr="00287574" w:rsidRDefault="002A5C35" w:rsidP="002A5C35">
      <w:pPr>
        <w:spacing w:before="0" w:after="0"/>
        <w:jc w:val="left"/>
        <w:rPr>
          <w:color w:val="auto"/>
        </w:rPr>
      </w:pPr>
    </w:p>
    <w:p w14:paraId="60127B66" w14:textId="77777777" w:rsidR="002A5C35" w:rsidRPr="00287574" w:rsidRDefault="002A5C35" w:rsidP="002A5C35">
      <w:pPr>
        <w:spacing w:before="0" w:after="0"/>
        <w:jc w:val="left"/>
        <w:rPr>
          <w:color w:val="auto"/>
        </w:rPr>
      </w:pPr>
    </w:p>
    <w:p w14:paraId="7D4E871F" w14:textId="77777777" w:rsidR="002A5C35" w:rsidRPr="00287574" w:rsidRDefault="002A5C35" w:rsidP="002A5C35">
      <w:pPr>
        <w:spacing w:before="0" w:after="0"/>
        <w:jc w:val="left"/>
        <w:rPr>
          <w:color w:val="auto"/>
        </w:rPr>
      </w:pPr>
    </w:p>
    <w:p w14:paraId="2535ECF2" w14:textId="77777777" w:rsidR="002A5C35" w:rsidRPr="00287574" w:rsidRDefault="002A5C35" w:rsidP="002A5C35">
      <w:pPr>
        <w:spacing w:before="0" w:after="0"/>
        <w:jc w:val="left"/>
        <w:rPr>
          <w:color w:val="auto"/>
        </w:rPr>
      </w:pPr>
    </w:p>
    <w:p w14:paraId="5F40C589" w14:textId="77777777" w:rsidR="002A5C35" w:rsidRPr="00287574" w:rsidRDefault="002A5C35" w:rsidP="002A5C35">
      <w:pPr>
        <w:spacing w:before="0" w:after="0"/>
        <w:jc w:val="left"/>
        <w:rPr>
          <w:color w:val="auto"/>
        </w:rPr>
      </w:pPr>
    </w:p>
    <w:p w14:paraId="0434D6F9" w14:textId="77777777" w:rsidR="002A5C35" w:rsidRPr="00287574" w:rsidRDefault="002A5C35" w:rsidP="002A5C35">
      <w:pPr>
        <w:spacing w:before="0" w:after="0"/>
        <w:jc w:val="left"/>
        <w:rPr>
          <w:color w:val="auto"/>
        </w:rPr>
      </w:pPr>
    </w:p>
    <w:p w14:paraId="61F4633F" w14:textId="77777777" w:rsidR="002A5C35" w:rsidRPr="00287574" w:rsidRDefault="002A5C35" w:rsidP="002A5C35">
      <w:pPr>
        <w:spacing w:before="0" w:after="0"/>
        <w:jc w:val="left"/>
        <w:rPr>
          <w:color w:val="auto"/>
        </w:rPr>
      </w:pPr>
    </w:p>
    <w:p w14:paraId="74D18741" w14:textId="77777777" w:rsidR="002A5C35" w:rsidRPr="00287574" w:rsidRDefault="002A5C35" w:rsidP="002A5C35">
      <w:pPr>
        <w:spacing w:before="0" w:after="0"/>
        <w:jc w:val="left"/>
        <w:rPr>
          <w:color w:val="auto"/>
        </w:rPr>
      </w:pPr>
    </w:p>
    <w:p w14:paraId="75BEBF41" w14:textId="77777777" w:rsidR="002A5C35" w:rsidRPr="00287574" w:rsidRDefault="002A5C35" w:rsidP="002A5C35">
      <w:pPr>
        <w:spacing w:before="0" w:after="0"/>
        <w:jc w:val="left"/>
        <w:rPr>
          <w:color w:val="auto"/>
        </w:rPr>
      </w:pPr>
    </w:p>
    <w:p w14:paraId="1871ED31" w14:textId="77777777" w:rsidR="002A5C35" w:rsidRPr="00287574" w:rsidRDefault="002A5C35" w:rsidP="002A5C35">
      <w:pPr>
        <w:spacing w:before="0" w:after="0"/>
        <w:jc w:val="left"/>
        <w:rPr>
          <w:color w:val="auto"/>
        </w:rPr>
      </w:pPr>
    </w:p>
    <w:p w14:paraId="0C8A1CAA" w14:textId="77777777" w:rsidR="002A5C35" w:rsidRPr="00287574" w:rsidRDefault="002A5C35" w:rsidP="002A5C35">
      <w:pPr>
        <w:spacing w:before="0" w:after="0"/>
        <w:jc w:val="left"/>
        <w:rPr>
          <w:color w:val="auto"/>
        </w:rPr>
      </w:pPr>
    </w:p>
    <w:p w14:paraId="57C66D0F" w14:textId="77777777" w:rsidR="002A5C35" w:rsidRPr="00287574" w:rsidRDefault="002A5C35" w:rsidP="002A5C35">
      <w:pPr>
        <w:spacing w:before="0" w:after="0"/>
        <w:jc w:val="left"/>
        <w:rPr>
          <w:color w:val="auto"/>
        </w:rPr>
      </w:pPr>
    </w:p>
    <w:p w14:paraId="6CB08E78" w14:textId="77777777" w:rsidR="002A5C35" w:rsidRPr="00287574" w:rsidRDefault="002A5C35" w:rsidP="002A5C35">
      <w:pPr>
        <w:spacing w:before="0" w:after="0"/>
        <w:jc w:val="left"/>
        <w:rPr>
          <w:color w:val="auto"/>
        </w:rPr>
      </w:pPr>
    </w:p>
    <w:p w14:paraId="3040CF90" w14:textId="77777777" w:rsidR="002A5C35" w:rsidRPr="00287574" w:rsidRDefault="002A5C35" w:rsidP="002A5C35">
      <w:pPr>
        <w:spacing w:before="0" w:after="0"/>
        <w:jc w:val="left"/>
        <w:rPr>
          <w:color w:val="auto"/>
        </w:rPr>
      </w:pPr>
    </w:p>
    <w:p w14:paraId="402B0081" w14:textId="77777777" w:rsidR="002A5C35" w:rsidRPr="00287574" w:rsidRDefault="002A5C35" w:rsidP="002A5C35">
      <w:pPr>
        <w:spacing w:before="0" w:after="0"/>
        <w:jc w:val="left"/>
        <w:rPr>
          <w:color w:val="auto"/>
        </w:rPr>
      </w:pPr>
    </w:p>
    <w:p w14:paraId="5BDA334C" w14:textId="77777777" w:rsidR="002A5C35" w:rsidRPr="00287574" w:rsidRDefault="002A5C35" w:rsidP="002A5C35">
      <w:pPr>
        <w:spacing w:before="0" w:after="0"/>
        <w:jc w:val="left"/>
        <w:rPr>
          <w:color w:val="auto"/>
        </w:rPr>
      </w:pPr>
    </w:p>
    <w:p w14:paraId="4FB99886" w14:textId="77777777" w:rsidR="002A5C35" w:rsidRPr="00287574" w:rsidRDefault="002A5C35" w:rsidP="002A5C35">
      <w:pPr>
        <w:spacing w:before="0" w:after="0"/>
        <w:jc w:val="left"/>
        <w:rPr>
          <w:color w:val="auto"/>
        </w:rPr>
      </w:pPr>
    </w:p>
    <w:p w14:paraId="62AB87D6" w14:textId="77777777" w:rsidR="002A5C35" w:rsidRPr="00287574" w:rsidRDefault="002A5C35" w:rsidP="002A5C35">
      <w:pPr>
        <w:spacing w:before="0" w:after="0"/>
        <w:jc w:val="left"/>
        <w:rPr>
          <w:color w:val="auto"/>
        </w:rPr>
      </w:pPr>
    </w:p>
    <w:p w14:paraId="7B665003" w14:textId="77777777" w:rsidR="002A5C35" w:rsidRPr="00287574" w:rsidRDefault="002A5C35" w:rsidP="002A5C35">
      <w:pPr>
        <w:spacing w:before="0" w:after="0"/>
        <w:jc w:val="left"/>
        <w:rPr>
          <w:color w:val="auto"/>
        </w:rPr>
      </w:pPr>
    </w:p>
    <w:p w14:paraId="7B11B8CB" w14:textId="1F187223" w:rsidR="00606801" w:rsidRPr="00334846" w:rsidRDefault="00BD00C2" w:rsidP="002A5C35">
      <w:pPr>
        <w:spacing w:before="0" w:after="0"/>
        <w:jc w:val="left"/>
        <w:rPr>
          <w:b/>
          <w:bCs/>
          <w:color w:val="44546A" w:themeColor="text2"/>
          <w:sz w:val="24"/>
        </w:rPr>
      </w:pPr>
      <w:r w:rsidRPr="00334846">
        <w:rPr>
          <w:b/>
          <w:bCs/>
          <w:color w:val="44546A" w:themeColor="text2"/>
          <w:sz w:val="24"/>
        </w:rPr>
        <w:t>Glossaire</w:t>
      </w:r>
    </w:p>
    <w:p w14:paraId="07DF63B0" w14:textId="77777777" w:rsidR="002A5C35" w:rsidRPr="00287574" w:rsidRDefault="002A5C35" w:rsidP="002A5C35">
      <w:pPr>
        <w:spacing w:before="0" w:after="0"/>
        <w:jc w:val="left"/>
        <w:rPr>
          <w:rFonts w:cs="Arial"/>
          <w:color w:val="auto"/>
        </w:rPr>
      </w:pPr>
    </w:p>
    <w:tbl>
      <w:tblPr>
        <w:tblStyle w:val="Grilledutableau"/>
        <w:tblW w:w="0" w:type="auto"/>
        <w:tblLook w:val="04A0" w:firstRow="1" w:lastRow="0" w:firstColumn="1" w:lastColumn="0" w:noHBand="0" w:noVBand="1"/>
      </w:tblPr>
      <w:tblGrid>
        <w:gridCol w:w="4885"/>
        <w:gridCol w:w="4886"/>
      </w:tblGrid>
      <w:tr w:rsidR="00606801" w:rsidRPr="00287574" w14:paraId="1F1457DF" w14:textId="77777777" w:rsidTr="00606801">
        <w:tc>
          <w:tcPr>
            <w:tcW w:w="4885" w:type="dxa"/>
          </w:tcPr>
          <w:p w14:paraId="0B5BCE55" w14:textId="40B9CF0B" w:rsidR="00606801" w:rsidRPr="00287574" w:rsidRDefault="00606801" w:rsidP="003750E9">
            <w:pPr>
              <w:spacing w:after="120"/>
              <w:rPr>
                <w:color w:val="auto"/>
              </w:rPr>
            </w:pPr>
            <w:r w:rsidRPr="00287574">
              <w:rPr>
                <w:color w:val="auto"/>
              </w:rPr>
              <w:t>PHEV</w:t>
            </w:r>
          </w:p>
        </w:tc>
        <w:tc>
          <w:tcPr>
            <w:tcW w:w="4886" w:type="dxa"/>
          </w:tcPr>
          <w:p w14:paraId="5C074CA6" w14:textId="38B7A8EB" w:rsidR="00606801" w:rsidRPr="00287574" w:rsidRDefault="00606801" w:rsidP="003750E9">
            <w:pPr>
              <w:spacing w:after="120"/>
              <w:rPr>
                <w:color w:val="auto"/>
              </w:rPr>
            </w:pPr>
            <w:r w:rsidRPr="00287574">
              <w:rPr>
                <w:color w:val="auto"/>
              </w:rPr>
              <w:t>Véhicule hybride rechargeable</w:t>
            </w:r>
          </w:p>
        </w:tc>
      </w:tr>
      <w:tr w:rsidR="00606801" w:rsidRPr="00287574" w14:paraId="0E59BE25" w14:textId="77777777" w:rsidTr="00606801">
        <w:tc>
          <w:tcPr>
            <w:tcW w:w="4885" w:type="dxa"/>
          </w:tcPr>
          <w:p w14:paraId="22380A87" w14:textId="453BE734" w:rsidR="00606801" w:rsidRPr="00287574" w:rsidRDefault="00606801" w:rsidP="00D23C15">
            <w:pPr>
              <w:spacing w:after="120"/>
              <w:rPr>
                <w:color w:val="auto"/>
              </w:rPr>
            </w:pPr>
            <w:r w:rsidRPr="00287574">
              <w:rPr>
                <w:color w:val="auto"/>
              </w:rPr>
              <w:t>BEV</w:t>
            </w:r>
          </w:p>
        </w:tc>
        <w:tc>
          <w:tcPr>
            <w:tcW w:w="4886" w:type="dxa"/>
          </w:tcPr>
          <w:p w14:paraId="5AF89ADC" w14:textId="6B790747" w:rsidR="00606801" w:rsidRPr="00287574" w:rsidRDefault="00606801" w:rsidP="003750E9">
            <w:pPr>
              <w:spacing w:after="120"/>
              <w:rPr>
                <w:color w:val="auto"/>
              </w:rPr>
            </w:pPr>
            <w:r w:rsidRPr="00287574">
              <w:rPr>
                <w:color w:val="auto"/>
              </w:rPr>
              <w:t>Véhicule électrique à batterie</w:t>
            </w:r>
          </w:p>
        </w:tc>
      </w:tr>
      <w:tr w:rsidR="002654A9" w:rsidRPr="00287574" w14:paraId="6FCDAF28" w14:textId="77777777" w:rsidTr="00606801">
        <w:tc>
          <w:tcPr>
            <w:tcW w:w="4885" w:type="dxa"/>
          </w:tcPr>
          <w:p w14:paraId="2E45F0CC" w14:textId="34CCC205" w:rsidR="002654A9" w:rsidRPr="00287574" w:rsidRDefault="00231776" w:rsidP="00D23C15">
            <w:pPr>
              <w:spacing w:after="120"/>
              <w:rPr>
                <w:color w:val="auto"/>
              </w:rPr>
            </w:pPr>
            <w:r>
              <w:rPr>
                <w:color w:val="auto"/>
              </w:rPr>
              <w:t>TAB</w:t>
            </w:r>
          </w:p>
        </w:tc>
        <w:tc>
          <w:tcPr>
            <w:tcW w:w="4886" w:type="dxa"/>
          </w:tcPr>
          <w:p w14:paraId="4C3386F8" w14:textId="23A5D4CD" w:rsidR="002654A9" w:rsidRPr="00287574" w:rsidRDefault="009C103C" w:rsidP="003B635D">
            <w:pPr>
              <w:spacing w:after="120"/>
              <w:rPr>
                <w:color w:val="auto"/>
              </w:rPr>
            </w:pPr>
            <w:r>
              <w:rPr>
                <w:color w:val="auto"/>
              </w:rPr>
              <w:t>Prescriptions</w:t>
            </w:r>
            <w:r w:rsidR="002654A9" w:rsidRPr="00287574">
              <w:rPr>
                <w:color w:val="auto"/>
              </w:rPr>
              <w:t xml:space="preserve"> de raccordement</w:t>
            </w:r>
            <w:r w:rsidR="00231776">
              <w:rPr>
                <w:color w:val="auto"/>
              </w:rPr>
              <w:t xml:space="preserve"> (« </w:t>
            </w:r>
            <w:proofErr w:type="spellStart"/>
            <w:r w:rsidR="00231776">
              <w:rPr>
                <w:color w:val="auto"/>
              </w:rPr>
              <w:t>Technische</w:t>
            </w:r>
            <w:proofErr w:type="spellEnd"/>
            <w:r w:rsidR="00231776">
              <w:rPr>
                <w:color w:val="auto"/>
              </w:rPr>
              <w:t xml:space="preserve"> </w:t>
            </w:r>
            <w:proofErr w:type="spellStart"/>
            <w:r w:rsidR="00231776">
              <w:rPr>
                <w:color w:val="auto"/>
              </w:rPr>
              <w:t>Anschlussbedingungen</w:t>
            </w:r>
            <w:proofErr w:type="spellEnd"/>
            <w:r w:rsidR="00231776">
              <w:rPr>
                <w:color w:val="auto"/>
              </w:rPr>
              <w:t> »)</w:t>
            </w:r>
          </w:p>
        </w:tc>
      </w:tr>
      <w:tr w:rsidR="007B01F8" w:rsidRPr="00287574" w14:paraId="093005E0" w14:textId="77777777" w:rsidTr="00606801">
        <w:tc>
          <w:tcPr>
            <w:tcW w:w="4885" w:type="dxa"/>
          </w:tcPr>
          <w:p w14:paraId="1C580F22" w14:textId="436B991A" w:rsidR="007B01F8" w:rsidRPr="00287574" w:rsidRDefault="007B01F8" w:rsidP="00D23C15">
            <w:pPr>
              <w:spacing w:after="120"/>
              <w:rPr>
                <w:color w:val="auto"/>
              </w:rPr>
            </w:pPr>
            <w:r w:rsidRPr="00287574">
              <w:rPr>
                <w:color w:val="auto"/>
              </w:rPr>
              <w:t>IC-CPD</w:t>
            </w:r>
          </w:p>
        </w:tc>
        <w:tc>
          <w:tcPr>
            <w:tcW w:w="4886" w:type="dxa"/>
          </w:tcPr>
          <w:p w14:paraId="79493981" w14:textId="7AD66EFE" w:rsidR="007B01F8" w:rsidRPr="00287574" w:rsidRDefault="007B01F8" w:rsidP="003B635D">
            <w:pPr>
              <w:spacing w:after="120"/>
              <w:rPr>
                <w:color w:val="auto"/>
              </w:rPr>
            </w:pPr>
            <w:r w:rsidRPr="00287574">
              <w:rPr>
                <w:color w:val="auto"/>
              </w:rPr>
              <w:t>Appareil de contrôle et de protection intégré au câble</w:t>
            </w:r>
          </w:p>
        </w:tc>
      </w:tr>
      <w:tr w:rsidR="00BD00C2" w:rsidRPr="00287574" w14:paraId="3B1603CD" w14:textId="77777777" w:rsidTr="00606801">
        <w:tc>
          <w:tcPr>
            <w:tcW w:w="4885" w:type="dxa"/>
          </w:tcPr>
          <w:p w14:paraId="1DB3AA47" w14:textId="5FA66F72" w:rsidR="00BD00C2" w:rsidRPr="00287574" w:rsidRDefault="00BD00C2" w:rsidP="00E94CEA">
            <w:pPr>
              <w:spacing w:after="120"/>
              <w:rPr>
                <w:color w:val="auto"/>
              </w:rPr>
            </w:pPr>
            <w:r w:rsidRPr="00287574">
              <w:rPr>
                <w:color w:val="auto"/>
              </w:rPr>
              <w:t>Recharge intelligente</w:t>
            </w:r>
          </w:p>
        </w:tc>
        <w:tc>
          <w:tcPr>
            <w:tcW w:w="4886" w:type="dxa"/>
          </w:tcPr>
          <w:p w14:paraId="10983AD7" w14:textId="2BE19351" w:rsidR="00BD00C2" w:rsidRPr="00287574" w:rsidRDefault="00BD00C2" w:rsidP="00E94CEA">
            <w:pPr>
              <w:spacing w:after="120"/>
              <w:rPr>
                <w:color w:val="auto"/>
              </w:rPr>
            </w:pPr>
            <w:r w:rsidRPr="00287574">
              <w:rPr>
                <w:color w:val="auto"/>
              </w:rPr>
              <w:t xml:space="preserve">Gestion intelligente de la recharge qui utilise et répartit de manière optimale la </w:t>
            </w:r>
            <w:r w:rsidR="009C103C">
              <w:rPr>
                <w:color w:val="auto"/>
              </w:rPr>
              <w:t>puissance</w:t>
            </w:r>
            <w:r w:rsidRPr="00287574">
              <w:rPr>
                <w:color w:val="auto"/>
              </w:rPr>
              <w:t xml:space="preserve"> disponible</w:t>
            </w:r>
          </w:p>
        </w:tc>
      </w:tr>
      <w:tr w:rsidR="004C7D4D" w:rsidRPr="00287574" w14:paraId="14D34E41" w14:textId="77777777" w:rsidTr="00606801">
        <w:tc>
          <w:tcPr>
            <w:tcW w:w="4885" w:type="dxa"/>
          </w:tcPr>
          <w:p w14:paraId="3B5F1322" w14:textId="1CA7F39E" w:rsidR="004C7D4D" w:rsidRPr="00287574" w:rsidRDefault="004C7D4D" w:rsidP="00D23C15">
            <w:pPr>
              <w:spacing w:after="120"/>
              <w:rPr>
                <w:color w:val="auto"/>
              </w:rPr>
            </w:pPr>
            <w:r w:rsidRPr="00287574">
              <w:rPr>
                <w:color w:val="auto"/>
              </w:rPr>
              <w:t>Protection RCD</w:t>
            </w:r>
          </w:p>
        </w:tc>
        <w:tc>
          <w:tcPr>
            <w:tcW w:w="4886" w:type="dxa"/>
          </w:tcPr>
          <w:p w14:paraId="496DD00D" w14:textId="2FC2FAF0" w:rsidR="004C7D4D" w:rsidRPr="00287574" w:rsidRDefault="004C7D4D" w:rsidP="007A7D05">
            <w:pPr>
              <w:spacing w:after="120"/>
              <w:rPr>
                <w:color w:val="auto"/>
              </w:rPr>
            </w:pPr>
            <w:proofErr w:type="spellStart"/>
            <w:r w:rsidRPr="00287574">
              <w:rPr>
                <w:color w:val="auto"/>
              </w:rPr>
              <w:t>Residual</w:t>
            </w:r>
            <w:proofErr w:type="spellEnd"/>
            <w:r w:rsidRPr="00287574">
              <w:rPr>
                <w:color w:val="auto"/>
              </w:rPr>
              <w:t xml:space="preserve"> </w:t>
            </w:r>
            <w:proofErr w:type="spellStart"/>
            <w:r w:rsidRPr="00287574">
              <w:rPr>
                <w:color w:val="auto"/>
              </w:rPr>
              <w:t>Current</w:t>
            </w:r>
            <w:proofErr w:type="spellEnd"/>
            <w:r w:rsidRPr="00287574">
              <w:rPr>
                <w:color w:val="auto"/>
              </w:rPr>
              <w:t xml:space="preserve"> </w:t>
            </w:r>
            <w:proofErr w:type="spellStart"/>
            <w:r w:rsidRPr="00287574">
              <w:rPr>
                <w:color w:val="auto"/>
              </w:rPr>
              <w:t>Device</w:t>
            </w:r>
            <w:proofErr w:type="spellEnd"/>
            <w:r w:rsidRPr="00287574">
              <w:rPr>
                <w:color w:val="auto"/>
              </w:rPr>
              <w:t>, également appelé disjoncteur à courant de défaut ou disjoncteur différentiel.</w:t>
            </w:r>
          </w:p>
        </w:tc>
      </w:tr>
      <w:tr w:rsidR="003B635D" w:rsidRPr="00287574" w14:paraId="48A13C9D" w14:textId="77777777" w:rsidTr="00606801">
        <w:tc>
          <w:tcPr>
            <w:tcW w:w="4885" w:type="dxa"/>
          </w:tcPr>
          <w:p w14:paraId="0B804764" w14:textId="3061612D" w:rsidR="003B635D" w:rsidRPr="00287574" w:rsidRDefault="003B635D" w:rsidP="00D23C15">
            <w:pPr>
              <w:spacing w:after="120"/>
              <w:rPr>
                <w:color w:val="auto"/>
              </w:rPr>
            </w:pPr>
            <w:r w:rsidRPr="00287574">
              <w:rPr>
                <w:color w:val="auto"/>
              </w:rPr>
              <w:t>TGBT</w:t>
            </w:r>
          </w:p>
        </w:tc>
        <w:tc>
          <w:tcPr>
            <w:tcW w:w="4886" w:type="dxa"/>
          </w:tcPr>
          <w:p w14:paraId="533F90C2" w14:textId="640DCF75" w:rsidR="003B635D" w:rsidRPr="00287574" w:rsidRDefault="003B635D" w:rsidP="003B635D">
            <w:pPr>
              <w:spacing w:after="120"/>
              <w:rPr>
                <w:color w:val="auto"/>
              </w:rPr>
            </w:pPr>
            <w:r w:rsidRPr="00287574">
              <w:rPr>
                <w:color w:val="auto"/>
              </w:rPr>
              <w:t>Tableau général basse tension</w:t>
            </w:r>
          </w:p>
        </w:tc>
      </w:tr>
      <w:tr w:rsidR="003A7BAC" w:rsidRPr="00287574" w14:paraId="57F1C16B" w14:textId="77777777" w:rsidTr="00606801">
        <w:tc>
          <w:tcPr>
            <w:tcW w:w="4885" w:type="dxa"/>
          </w:tcPr>
          <w:p w14:paraId="75063B6F" w14:textId="7D80A8B4" w:rsidR="003A7BAC" w:rsidRPr="00287574" w:rsidRDefault="003A7BAC" w:rsidP="00D23C15">
            <w:pPr>
              <w:spacing w:after="120"/>
              <w:rPr>
                <w:color w:val="auto"/>
              </w:rPr>
            </w:pPr>
            <w:r w:rsidRPr="00287574">
              <w:rPr>
                <w:color w:val="auto"/>
              </w:rPr>
              <w:t>GRD</w:t>
            </w:r>
          </w:p>
        </w:tc>
        <w:tc>
          <w:tcPr>
            <w:tcW w:w="4886" w:type="dxa"/>
          </w:tcPr>
          <w:p w14:paraId="0B22FA87" w14:textId="1DECD60C" w:rsidR="003A7BAC" w:rsidRPr="00287574" w:rsidRDefault="003A7BAC" w:rsidP="003B635D">
            <w:pPr>
              <w:spacing w:after="120"/>
              <w:rPr>
                <w:color w:val="auto"/>
              </w:rPr>
            </w:pPr>
            <w:r w:rsidRPr="00287574">
              <w:rPr>
                <w:color w:val="auto"/>
              </w:rPr>
              <w:t>Gestionnaire</w:t>
            </w:r>
            <w:r w:rsidR="00EB4859">
              <w:rPr>
                <w:color w:val="auto"/>
              </w:rPr>
              <w:t>s</w:t>
            </w:r>
            <w:r w:rsidRPr="00287574">
              <w:rPr>
                <w:color w:val="auto"/>
              </w:rPr>
              <w:t xml:space="preserve"> de réseau</w:t>
            </w:r>
            <w:r w:rsidR="009C103C">
              <w:rPr>
                <w:color w:val="auto"/>
              </w:rPr>
              <w:t>x</w:t>
            </w:r>
            <w:r w:rsidRPr="00287574">
              <w:rPr>
                <w:color w:val="auto"/>
              </w:rPr>
              <w:t xml:space="preserve"> de distribution</w:t>
            </w:r>
          </w:p>
        </w:tc>
      </w:tr>
      <w:tr w:rsidR="00A744A2" w:rsidRPr="00287574" w14:paraId="2D5CF5EA" w14:textId="77777777" w:rsidTr="00606801">
        <w:tc>
          <w:tcPr>
            <w:tcW w:w="4885" w:type="dxa"/>
          </w:tcPr>
          <w:p w14:paraId="799AFB60" w14:textId="64AE5C59" w:rsidR="00A744A2" w:rsidRPr="00287574" w:rsidRDefault="00A744A2" w:rsidP="00D23C15">
            <w:pPr>
              <w:spacing w:after="120"/>
              <w:rPr>
                <w:color w:val="auto"/>
              </w:rPr>
            </w:pPr>
            <w:r w:rsidRPr="00287574">
              <w:rPr>
                <w:color w:val="auto"/>
              </w:rPr>
              <w:t>OSM</w:t>
            </w:r>
          </w:p>
        </w:tc>
        <w:tc>
          <w:tcPr>
            <w:tcW w:w="4886" w:type="dxa"/>
          </w:tcPr>
          <w:p w14:paraId="49AA827E" w14:textId="1D32A07B" w:rsidR="00A744A2" w:rsidRPr="00287574" w:rsidRDefault="00A744A2" w:rsidP="003B635D">
            <w:pPr>
              <w:spacing w:after="120"/>
              <w:rPr>
                <w:color w:val="auto"/>
              </w:rPr>
            </w:pPr>
            <w:r w:rsidRPr="00287574">
              <w:rPr>
                <w:color w:val="auto"/>
              </w:rPr>
              <w:t>Opérateur de services de mobilité</w:t>
            </w:r>
          </w:p>
        </w:tc>
      </w:tr>
      <w:tr w:rsidR="00F9359E" w:rsidRPr="00287574" w14:paraId="1A4BEE57" w14:textId="77777777" w:rsidTr="00606801">
        <w:tc>
          <w:tcPr>
            <w:tcW w:w="4885" w:type="dxa"/>
          </w:tcPr>
          <w:p w14:paraId="4F5D84DB" w14:textId="75123723" w:rsidR="00F9359E" w:rsidRPr="00287574" w:rsidRDefault="00F9359E" w:rsidP="00D23C15">
            <w:pPr>
              <w:spacing w:after="120"/>
              <w:rPr>
                <w:color w:val="auto"/>
              </w:rPr>
            </w:pPr>
            <w:proofErr w:type="spellStart"/>
            <w:r w:rsidRPr="00287574">
              <w:rPr>
                <w:color w:val="auto"/>
              </w:rPr>
              <w:t>Smarty</w:t>
            </w:r>
            <w:proofErr w:type="spellEnd"/>
          </w:p>
        </w:tc>
        <w:tc>
          <w:tcPr>
            <w:tcW w:w="4886" w:type="dxa"/>
          </w:tcPr>
          <w:p w14:paraId="51BEA850" w14:textId="66219B3B" w:rsidR="00F9359E" w:rsidRPr="00287574" w:rsidRDefault="00F9359E" w:rsidP="003B635D">
            <w:pPr>
              <w:spacing w:after="120"/>
              <w:rPr>
                <w:color w:val="auto"/>
              </w:rPr>
            </w:pPr>
            <w:r w:rsidRPr="00287574">
              <w:rPr>
                <w:color w:val="auto"/>
              </w:rPr>
              <w:t xml:space="preserve">Smart </w:t>
            </w:r>
            <w:proofErr w:type="spellStart"/>
            <w:r w:rsidRPr="00287574">
              <w:rPr>
                <w:color w:val="auto"/>
              </w:rPr>
              <w:t>Meter</w:t>
            </w:r>
            <w:proofErr w:type="spellEnd"/>
            <w:r w:rsidRPr="00287574">
              <w:rPr>
                <w:color w:val="auto"/>
              </w:rPr>
              <w:t xml:space="preserve"> (compteur intelligent)</w:t>
            </w:r>
          </w:p>
        </w:tc>
      </w:tr>
      <w:tr w:rsidR="00095235" w:rsidRPr="00287574" w14:paraId="38870914" w14:textId="77777777" w:rsidTr="00606801">
        <w:tc>
          <w:tcPr>
            <w:tcW w:w="4885" w:type="dxa"/>
          </w:tcPr>
          <w:p w14:paraId="7FED3C17" w14:textId="3BFCDF1D" w:rsidR="00095235" w:rsidRPr="00287574" w:rsidRDefault="00095235" w:rsidP="00D23C15">
            <w:pPr>
              <w:spacing w:after="120"/>
              <w:rPr>
                <w:color w:val="auto"/>
              </w:rPr>
            </w:pPr>
            <w:r w:rsidRPr="00287574">
              <w:rPr>
                <w:color w:val="auto"/>
              </w:rPr>
              <w:t>ILR</w:t>
            </w:r>
          </w:p>
        </w:tc>
        <w:tc>
          <w:tcPr>
            <w:tcW w:w="4886" w:type="dxa"/>
          </w:tcPr>
          <w:p w14:paraId="4B272A1A" w14:textId="5AF36790" w:rsidR="00095235" w:rsidRPr="00287574" w:rsidRDefault="00095235" w:rsidP="003B635D">
            <w:pPr>
              <w:spacing w:after="120"/>
              <w:rPr>
                <w:color w:val="auto"/>
              </w:rPr>
            </w:pPr>
            <w:r w:rsidRPr="00287574">
              <w:rPr>
                <w:color w:val="auto"/>
              </w:rPr>
              <w:t>Institut Luxembourgeois de Régulation</w:t>
            </w:r>
          </w:p>
        </w:tc>
      </w:tr>
    </w:tbl>
    <w:p w14:paraId="5418AA32" w14:textId="51461236" w:rsidR="00606801" w:rsidRPr="00287574" w:rsidRDefault="00606801" w:rsidP="003750E9">
      <w:pPr>
        <w:rPr>
          <w:color w:val="auto"/>
        </w:rPr>
      </w:pPr>
    </w:p>
    <w:p w14:paraId="14C17BC1" w14:textId="73F785B3" w:rsidR="00606801" w:rsidRPr="00287574" w:rsidRDefault="00606801" w:rsidP="005D6301">
      <w:pPr>
        <w:spacing w:before="0" w:after="0"/>
        <w:jc w:val="left"/>
        <w:rPr>
          <w:color w:val="auto"/>
        </w:rPr>
      </w:pPr>
      <w:r w:rsidRPr="00287574">
        <w:br w:type="page"/>
      </w:r>
    </w:p>
    <w:p w14:paraId="3E034B6B" w14:textId="32FBA5BB" w:rsidR="00CF7C5D" w:rsidRPr="00334846" w:rsidRDefault="00CF7C5D" w:rsidP="00334846">
      <w:pPr>
        <w:pStyle w:val="Titre1"/>
      </w:pPr>
      <w:bookmarkStart w:id="3" w:name="_Toc37844150"/>
      <w:bookmarkStart w:id="4" w:name="_Toc40432325"/>
      <w:r w:rsidRPr="00334846">
        <w:lastRenderedPageBreak/>
        <w:t>Présentation</w:t>
      </w:r>
      <w:bookmarkEnd w:id="2"/>
      <w:bookmarkEnd w:id="3"/>
      <w:bookmarkEnd w:id="4"/>
    </w:p>
    <w:p w14:paraId="51DF3805" w14:textId="4FBAAB87" w:rsidR="00CF7C5D" w:rsidRPr="00334846" w:rsidRDefault="00CF7C5D" w:rsidP="00334846">
      <w:pPr>
        <w:pStyle w:val="Titre2"/>
      </w:pPr>
      <w:bookmarkStart w:id="5" w:name="_Toc510619642"/>
      <w:bookmarkStart w:id="6" w:name="_Toc22731537"/>
      <w:bookmarkStart w:id="7" w:name="_Toc37844151"/>
      <w:bookmarkStart w:id="8" w:name="_Toc40432326"/>
      <w:bookmarkStart w:id="9" w:name="_Hlk36735402"/>
      <w:r w:rsidRPr="00334846">
        <w:t>Finalité et objectifs</w:t>
      </w:r>
      <w:bookmarkEnd w:id="5"/>
      <w:bookmarkEnd w:id="6"/>
      <w:bookmarkEnd w:id="7"/>
      <w:bookmarkEnd w:id="8"/>
    </w:p>
    <w:p w14:paraId="7B750B81" w14:textId="5039DD05" w:rsidR="00CF7C5D" w:rsidRPr="00287574" w:rsidRDefault="00CF7C5D" w:rsidP="00CF7C5D">
      <w:pPr>
        <w:rPr>
          <w:rFonts w:cs="Arial"/>
          <w:color w:val="auto"/>
        </w:rPr>
      </w:pPr>
      <w:r w:rsidRPr="00287574">
        <w:rPr>
          <w:color w:val="auto"/>
        </w:rPr>
        <w:t>L’autorisation du présent outil de travail découle de l'importance sans cesse croissante de l'électromobilité et de la volonté de rendre la technologie accessible à un plus large public. L'électromobilité doit être présentée de manière compréhensible et tangible, ses avantages doivent être mis en avant et les appréhensions et préjugés qui l'accompagnent doivent être dépassés.</w:t>
      </w:r>
    </w:p>
    <w:p w14:paraId="0313B6FD" w14:textId="6A83E7C2" w:rsidR="00296AB4" w:rsidRPr="00287574" w:rsidRDefault="00296AB4" w:rsidP="00296AB4">
      <w:pPr>
        <w:rPr>
          <w:rFonts w:cs="Arial"/>
          <w:color w:val="auto"/>
        </w:rPr>
      </w:pPr>
      <w:r w:rsidRPr="00287574">
        <w:rPr>
          <w:color w:val="auto"/>
        </w:rPr>
        <w:t xml:space="preserve">Cet outil de travail a été réalisé pour le compte du </w:t>
      </w:r>
      <w:proofErr w:type="gramStart"/>
      <w:r w:rsidRPr="00287574">
        <w:rPr>
          <w:color w:val="auto"/>
        </w:rPr>
        <w:t>Ministère de l'Énergie</w:t>
      </w:r>
      <w:proofErr w:type="gramEnd"/>
      <w:r w:rsidRPr="00287574">
        <w:rPr>
          <w:color w:val="auto"/>
        </w:rPr>
        <w:t xml:space="preserve"> par </w:t>
      </w:r>
      <w:r w:rsidR="00E90703">
        <w:rPr>
          <w:color w:val="auto"/>
        </w:rPr>
        <w:t>Klima-Agence</w:t>
      </w:r>
      <w:r w:rsidRPr="00287574">
        <w:rPr>
          <w:color w:val="auto"/>
        </w:rPr>
        <w:t>, en collaboration avec les gestionnaires de réseau</w:t>
      </w:r>
      <w:r w:rsidR="009C103C">
        <w:rPr>
          <w:color w:val="auto"/>
        </w:rPr>
        <w:t>x</w:t>
      </w:r>
      <w:r w:rsidRPr="00287574">
        <w:rPr>
          <w:color w:val="auto"/>
        </w:rPr>
        <w:t xml:space="preserve"> de distribution et l'Ordre des Architectes et Ingénieurs-Conseils (OAI).</w:t>
      </w:r>
    </w:p>
    <w:p w14:paraId="54473F16" w14:textId="0C9BE905" w:rsidR="00CF7C5D" w:rsidRPr="00287574" w:rsidRDefault="00CF7C5D" w:rsidP="00CF7C5D">
      <w:pPr>
        <w:rPr>
          <w:rFonts w:cs="Arial"/>
          <w:color w:val="auto"/>
        </w:rPr>
      </w:pPr>
      <w:r w:rsidRPr="00287574">
        <w:rPr>
          <w:color w:val="auto"/>
        </w:rPr>
        <w:t xml:space="preserve">L'infrastructure de recharge </w:t>
      </w:r>
      <w:proofErr w:type="gramStart"/>
      <w:r w:rsidRPr="00287574">
        <w:rPr>
          <w:color w:val="auto"/>
        </w:rPr>
        <w:t>a</w:t>
      </w:r>
      <w:proofErr w:type="gramEnd"/>
      <w:r w:rsidRPr="00287574">
        <w:rPr>
          <w:color w:val="auto"/>
        </w:rPr>
        <w:t xml:space="preserve"> une influence significative sur la fiabilité de la recharge d'un véhicule électrique. Si l'on tient compte de quelques aspects, peu nombreux mais importants, en matière de sécurité, l'électromobilité est facilement accessible à tous.</w:t>
      </w:r>
    </w:p>
    <w:p w14:paraId="4C4C0622" w14:textId="3C8DB8E5" w:rsidR="00CF7C5D" w:rsidRPr="00287574" w:rsidRDefault="00CF7C5D" w:rsidP="00CF7C5D">
      <w:pPr>
        <w:rPr>
          <w:rFonts w:cs="Arial"/>
          <w:color w:val="auto"/>
        </w:rPr>
      </w:pPr>
      <w:r w:rsidRPr="00287574">
        <w:rPr>
          <w:color w:val="auto"/>
        </w:rPr>
        <w:t>Le but du présent outil de travail est d'expliquer les paramètres qui doivent être prévus lors de la conception et de la planification de l'infrastructure de recharge, en particulier pour la recharge sur courant alternatif basse tension dans les bâtiments. Il décrit par ailleurs les avantages des différentes options de raccordement et les précautions à prendre lors de la planification pour éviter une hausse de la puissance absorbée liée aux stations de recharge.</w:t>
      </w:r>
    </w:p>
    <w:p w14:paraId="5D7671A7" w14:textId="08447D0C" w:rsidR="00737EBB" w:rsidRPr="00287574" w:rsidRDefault="00296AB4" w:rsidP="00737EBB">
      <w:pPr>
        <w:spacing w:before="0" w:after="0"/>
        <w:jc w:val="left"/>
        <w:rPr>
          <w:rFonts w:ascii="Times New Roman" w:eastAsia="Times New Roman" w:hAnsi="Times New Roman"/>
          <w:color w:val="auto"/>
          <w:sz w:val="24"/>
        </w:rPr>
      </w:pPr>
      <w:r w:rsidRPr="00287574">
        <w:rPr>
          <w:color w:val="auto"/>
        </w:rPr>
        <w:t>Cette aide à la planification présente les principales connaissances actuelles en matière de planification de l'infrastructure de recharge (avril 2020). Ce document doit être développé en continu et mis à jour à intervalles réguliers. Vous trouverez la version à jour de ce document dans votre boîte à outils Experts sur notre site Internet ou via le lien</w:t>
      </w:r>
      <w:r w:rsidRPr="00287574">
        <w:t xml:space="preserve"> </w:t>
      </w:r>
      <w:hyperlink r:id="rId20" w:tooltip="https://www.myenergy.lu/ladeinfrastructure" w:history="1">
        <w:r w:rsidR="00E90703" w:rsidRPr="00334846">
          <w:rPr>
            <w:rStyle w:val="Lienhypertexte"/>
            <w:rFonts w:ascii="Helvetica" w:hAnsi="Helvetica"/>
            <w:b/>
            <w:bCs/>
            <w:color w:val="5B9BD5" w:themeColor="accent1"/>
          </w:rPr>
          <w:t>klima-agence.lu/</w:t>
        </w:r>
        <w:proofErr w:type="spellStart"/>
        <w:r w:rsidR="00E90703" w:rsidRPr="00334846">
          <w:rPr>
            <w:rStyle w:val="Lienhypertexte"/>
            <w:rFonts w:ascii="Helvetica" w:hAnsi="Helvetica"/>
            <w:b/>
            <w:bCs/>
            <w:color w:val="5B9BD5" w:themeColor="accent1"/>
          </w:rPr>
          <w:t>structuredecharge</w:t>
        </w:r>
        <w:proofErr w:type="spellEnd"/>
      </w:hyperlink>
      <w:r w:rsidRPr="00334846">
        <w:rPr>
          <w:color w:val="5B9BD5" w:themeColor="accent1"/>
        </w:rPr>
        <w:t>.</w:t>
      </w:r>
    </w:p>
    <w:p w14:paraId="557079EE" w14:textId="5314CAF2" w:rsidR="00296AB4" w:rsidRPr="00287574" w:rsidRDefault="00296AB4" w:rsidP="00737EBB">
      <w:pPr>
        <w:spacing w:before="0" w:after="0"/>
        <w:jc w:val="left"/>
        <w:rPr>
          <w:rFonts w:ascii="Times New Roman" w:eastAsia="Times New Roman" w:hAnsi="Times New Roman"/>
          <w:color w:val="auto"/>
          <w:sz w:val="24"/>
        </w:rPr>
      </w:pPr>
    </w:p>
    <w:p w14:paraId="1B9429B6" w14:textId="319E888C" w:rsidR="00CF7C5D" w:rsidRPr="00287574" w:rsidRDefault="00CF7C5D" w:rsidP="00334846">
      <w:pPr>
        <w:pStyle w:val="Titre2"/>
      </w:pPr>
      <w:bookmarkStart w:id="10" w:name="_Toc510619643"/>
      <w:bookmarkStart w:id="11" w:name="_Toc22731538"/>
      <w:bookmarkStart w:id="12" w:name="_Toc37844152"/>
      <w:bookmarkStart w:id="13" w:name="_Toc40432327"/>
      <w:bookmarkEnd w:id="9"/>
      <w:r w:rsidRPr="00287574">
        <w:t>Groupes cibles</w:t>
      </w:r>
      <w:bookmarkEnd w:id="10"/>
      <w:bookmarkEnd w:id="11"/>
      <w:bookmarkEnd w:id="12"/>
      <w:bookmarkEnd w:id="13"/>
    </w:p>
    <w:p w14:paraId="1E10D90D" w14:textId="77777777" w:rsidR="00CF7C5D" w:rsidRPr="00287574" w:rsidRDefault="00CF7C5D" w:rsidP="00CF7C5D">
      <w:pPr>
        <w:rPr>
          <w:rFonts w:cs="Arial"/>
          <w:color w:val="auto"/>
        </w:rPr>
      </w:pPr>
      <w:r w:rsidRPr="00287574">
        <w:rPr>
          <w:color w:val="auto"/>
        </w:rPr>
        <w:t>La présente base de planification s'adresse principalement aux groupes cibles suivants :</w:t>
      </w:r>
    </w:p>
    <w:p w14:paraId="07638877" w14:textId="77777777" w:rsidR="00CF7C5D" w:rsidRPr="00287574" w:rsidRDefault="00CF7C5D" w:rsidP="00CF7C5D">
      <w:pPr>
        <w:pStyle w:val="Paragraphedeliste"/>
        <w:rPr>
          <w:rFonts w:ascii="Arial" w:hAnsi="Arial" w:cs="Arial"/>
        </w:rPr>
      </w:pPr>
      <w:r w:rsidRPr="00287574">
        <w:rPr>
          <w:rFonts w:ascii="Arial" w:hAnsi="Arial"/>
        </w:rPr>
        <w:t>Propriétaires immobiliers</w:t>
      </w:r>
    </w:p>
    <w:p w14:paraId="1076EE50" w14:textId="77777777" w:rsidR="00CF7C5D" w:rsidRPr="00287574" w:rsidRDefault="00CF7C5D" w:rsidP="00CF7C5D">
      <w:pPr>
        <w:pStyle w:val="Paragraphedeliste"/>
        <w:rPr>
          <w:rFonts w:ascii="Arial" w:hAnsi="Arial" w:cs="Arial"/>
        </w:rPr>
      </w:pPr>
      <w:r w:rsidRPr="00287574">
        <w:rPr>
          <w:rFonts w:ascii="Arial" w:hAnsi="Arial"/>
        </w:rPr>
        <w:t>Gestionnaires immobiliers et exploitants de parkings</w:t>
      </w:r>
    </w:p>
    <w:p w14:paraId="3DA12591" w14:textId="77777777" w:rsidR="00CF7C5D" w:rsidRPr="00287574" w:rsidRDefault="00CF7C5D" w:rsidP="00CF7C5D">
      <w:pPr>
        <w:pStyle w:val="Paragraphedeliste"/>
        <w:rPr>
          <w:rFonts w:ascii="Arial" w:hAnsi="Arial" w:cs="Arial"/>
        </w:rPr>
      </w:pPr>
      <w:r w:rsidRPr="00287574">
        <w:rPr>
          <w:rFonts w:ascii="Arial" w:hAnsi="Arial"/>
        </w:rPr>
        <w:t>Architectes et urbanistes</w:t>
      </w:r>
    </w:p>
    <w:p w14:paraId="6A2AEF7C" w14:textId="77777777" w:rsidR="00CF7C5D" w:rsidRPr="00287574" w:rsidRDefault="00CF7C5D" w:rsidP="00CF7C5D">
      <w:pPr>
        <w:pStyle w:val="Paragraphedeliste"/>
        <w:rPr>
          <w:rFonts w:ascii="Arial" w:hAnsi="Arial" w:cs="Arial"/>
        </w:rPr>
      </w:pPr>
      <w:r w:rsidRPr="00287574">
        <w:rPr>
          <w:rFonts w:ascii="Arial" w:hAnsi="Arial"/>
        </w:rPr>
        <w:t>Agents de l'administration publique</w:t>
      </w:r>
    </w:p>
    <w:p w14:paraId="0C3250A6" w14:textId="0B81625F" w:rsidR="00CF7C5D" w:rsidRPr="00287574" w:rsidRDefault="00CF7C5D" w:rsidP="00CF7C5D">
      <w:pPr>
        <w:pStyle w:val="Paragraphedeliste"/>
        <w:rPr>
          <w:rFonts w:ascii="Arial" w:hAnsi="Arial" w:cs="Arial"/>
        </w:rPr>
      </w:pPr>
      <w:r w:rsidRPr="00287574">
        <w:rPr>
          <w:rFonts w:ascii="Arial" w:hAnsi="Arial"/>
        </w:rPr>
        <w:t>Fournisseurs d'énergie</w:t>
      </w:r>
    </w:p>
    <w:p w14:paraId="014CB9AA" w14:textId="77777777" w:rsidR="00CF7C5D" w:rsidRPr="00287574" w:rsidRDefault="00CF7C5D" w:rsidP="00CF7C5D">
      <w:pPr>
        <w:pStyle w:val="Paragraphedeliste"/>
        <w:rPr>
          <w:rFonts w:ascii="Arial" w:hAnsi="Arial" w:cs="Arial"/>
        </w:rPr>
      </w:pPr>
      <w:r w:rsidRPr="00287574">
        <w:rPr>
          <w:rFonts w:ascii="Arial" w:hAnsi="Arial"/>
        </w:rPr>
        <w:t>Planificateurs et installateurs électriciens</w:t>
      </w:r>
    </w:p>
    <w:p w14:paraId="527494FB" w14:textId="5ABD5C03" w:rsidR="00CF7C5D" w:rsidRPr="00287574" w:rsidRDefault="00CF7C5D" w:rsidP="00CF7C5D">
      <w:pPr>
        <w:rPr>
          <w:rFonts w:cs="Arial"/>
          <w:color w:val="auto"/>
        </w:rPr>
      </w:pPr>
      <w:r w:rsidRPr="00287574">
        <w:rPr>
          <w:color w:val="auto"/>
        </w:rPr>
        <w:t xml:space="preserve">Cet outil de travail présente ce qui est nécessaire pour la planification, la construction et l'exploitation dans les règles d'une infrastructure de recharge et fournit des conseils permettant d'éviter les dangers ou les mauvais investissements coûteux. Il donne un aperçu des normes et dispositions importantes à mettre en œuvre ; toutefois, </w:t>
      </w:r>
      <w:r w:rsidR="00231776" w:rsidRPr="00231776">
        <w:rPr>
          <w:color w:val="auto"/>
        </w:rPr>
        <w:t xml:space="preserve">il ne peut servir que de recommandation </w:t>
      </w:r>
      <w:r w:rsidRPr="00287574">
        <w:rPr>
          <w:color w:val="auto"/>
        </w:rPr>
        <w:t>et ne saurait remplacer les conseils de professionnels qualifiés (par ex., un électricien).</w:t>
      </w:r>
    </w:p>
    <w:p w14:paraId="5D843554" w14:textId="684FE0A3" w:rsidR="00CF7C5D" w:rsidRPr="00287574" w:rsidRDefault="00CF7C5D" w:rsidP="00CF7C5D">
      <w:pPr>
        <w:spacing w:before="240"/>
        <w:rPr>
          <w:rFonts w:cs="Arial"/>
          <w:color w:val="auto"/>
        </w:rPr>
      </w:pPr>
      <w:r w:rsidRPr="00287574">
        <w:rPr>
          <w:color w:val="auto"/>
        </w:rPr>
        <w:t>Les recommandations contenues dans cet outil de travail pour la planification et la mise en œuvre d'installations électriques dédiées au raccordement de dispositifs de recharge pour véhicules électriques peuvent être utilisées dans les cadres suivants :</w:t>
      </w:r>
    </w:p>
    <w:p w14:paraId="33FEB0AE" w14:textId="330BAE8E" w:rsidR="00CF7C5D" w:rsidRPr="00287574" w:rsidRDefault="00CF7C5D" w:rsidP="00CF7C5D">
      <w:pPr>
        <w:pStyle w:val="Paragraphedeliste"/>
        <w:rPr>
          <w:rFonts w:ascii="Arial" w:hAnsi="Arial" w:cs="Arial"/>
        </w:rPr>
      </w:pPr>
      <w:proofErr w:type="gramStart"/>
      <w:r w:rsidRPr="00287574">
        <w:rPr>
          <w:rFonts w:ascii="Arial" w:hAnsi="Arial"/>
        </w:rPr>
        <w:lastRenderedPageBreak/>
        <w:t>immeubles</w:t>
      </w:r>
      <w:proofErr w:type="gramEnd"/>
      <w:r w:rsidRPr="00287574">
        <w:rPr>
          <w:rFonts w:ascii="Arial" w:hAnsi="Arial"/>
        </w:rPr>
        <w:t xml:space="preserve"> résidentiels avec espace de stationnement dédié au sein de la propriété ;</w:t>
      </w:r>
    </w:p>
    <w:p w14:paraId="4CCCE2E5" w14:textId="1F37E959" w:rsidR="00CF7C5D" w:rsidRPr="00287574" w:rsidRDefault="00CF7C5D" w:rsidP="00CF7C5D">
      <w:pPr>
        <w:pStyle w:val="Paragraphedeliste"/>
        <w:rPr>
          <w:rFonts w:ascii="Arial" w:hAnsi="Arial" w:cs="Arial"/>
        </w:rPr>
      </w:pPr>
      <w:proofErr w:type="gramStart"/>
      <w:r w:rsidRPr="00287574">
        <w:rPr>
          <w:rFonts w:ascii="Arial" w:hAnsi="Arial"/>
        </w:rPr>
        <w:t>bâtiments</w:t>
      </w:r>
      <w:proofErr w:type="gramEnd"/>
      <w:r w:rsidRPr="00287574">
        <w:rPr>
          <w:rFonts w:ascii="Arial" w:hAnsi="Arial"/>
        </w:rPr>
        <w:t xml:space="preserve"> non résidentiels et à usage mixte avec points de recharge privés, à accès restreint et accessibles à tous.</w:t>
      </w:r>
    </w:p>
    <w:p w14:paraId="6EC11860" w14:textId="180032F9" w:rsidR="00026ADD" w:rsidRPr="00287574" w:rsidRDefault="00CF7C5D" w:rsidP="00026ADD">
      <w:pPr>
        <w:rPr>
          <w:rFonts w:cs="Arial"/>
          <w:color w:val="auto"/>
        </w:rPr>
      </w:pPr>
      <w:r w:rsidRPr="00287574">
        <w:rPr>
          <w:color w:val="auto"/>
        </w:rPr>
        <w:t>Les exigences décrites s'appliquent pour la mise en œuvre de points de recharge à l'intérieur comme à l'extérieur du ou des bâtiments existants. Dans les immeubles résidentiels en particulier, il convient de veiller à ce que les exigences ne représentent pas d</w:t>
      </w:r>
      <w:r w:rsidR="00023C19">
        <w:rPr>
          <w:color w:val="auto"/>
        </w:rPr>
        <w:t>‘</w:t>
      </w:r>
      <w:r w:rsidRPr="00287574">
        <w:rPr>
          <w:color w:val="auto"/>
        </w:rPr>
        <w:t>obstacles insurmontables pour l'utilisateur initial d'un véhicule électrique. Il est donc important, en particulier pour les bâtiments existants, d'impliquer à un stade précoce le propriétaire ou la copropriété dans la planification du projet, afin de proposer et d’approuver dès que possible un concept cohérent et concerté. Une « solution intégrale » doit donc être privilégiée, le présent document traitant également une « solution unique » évolutive dont la mise en œuvre est associée à des coûts réduits.</w:t>
      </w:r>
    </w:p>
    <w:p w14:paraId="31D724BF" w14:textId="4E25B0AC" w:rsidR="00CF7C5D" w:rsidRPr="00287574" w:rsidRDefault="00CF7C5D" w:rsidP="00CF7C5D">
      <w:pPr>
        <w:rPr>
          <w:rFonts w:cs="Arial"/>
          <w:caps/>
          <w:color w:val="auto"/>
        </w:rPr>
      </w:pPr>
      <w:r w:rsidRPr="00287574">
        <w:rPr>
          <w:color w:val="auto"/>
        </w:rPr>
        <w:t xml:space="preserve">Le présent outil de travail ne traite ni </w:t>
      </w:r>
      <w:r w:rsidR="009C103C">
        <w:rPr>
          <w:color w:val="auto"/>
        </w:rPr>
        <w:t>le</w:t>
      </w:r>
      <w:r w:rsidRPr="00287574">
        <w:rPr>
          <w:color w:val="auto"/>
        </w:rPr>
        <w:t xml:space="preserve"> raccordement direct des dispositifs de recharge pour véhicules électriques</w:t>
      </w:r>
      <w:r w:rsidR="009C103C">
        <w:rPr>
          <w:color w:val="auto"/>
        </w:rPr>
        <w:t xml:space="preserve"> au réseau public</w:t>
      </w:r>
      <w:r w:rsidRPr="00287574">
        <w:rPr>
          <w:color w:val="auto"/>
        </w:rPr>
        <w:t xml:space="preserve">, ni de l'installation </w:t>
      </w:r>
      <w:r w:rsidR="009C103C">
        <w:rPr>
          <w:color w:val="auto"/>
        </w:rPr>
        <w:t xml:space="preserve">de ceux-ci </w:t>
      </w:r>
      <w:r w:rsidRPr="00287574">
        <w:rPr>
          <w:color w:val="auto"/>
        </w:rPr>
        <w:t>avec des courants de recharge plus élevés (par ex. pour la recharge rapide sur courant alternatif au-delà de 32 A ou la recharge sur courant continu).</w:t>
      </w:r>
    </w:p>
    <w:p w14:paraId="25A97FF7" w14:textId="4BA6EC55" w:rsidR="00CF7C5D" w:rsidRPr="00287574" w:rsidRDefault="00CF7C5D" w:rsidP="00334846">
      <w:pPr>
        <w:pStyle w:val="Titre2"/>
      </w:pPr>
      <w:bookmarkStart w:id="14" w:name="_Toc22731539"/>
      <w:bookmarkStart w:id="15" w:name="_Toc37844153"/>
      <w:bookmarkStart w:id="16" w:name="_Toc40432328"/>
      <w:r w:rsidRPr="00287574">
        <w:t>Contexte</w:t>
      </w:r>
      <w:bookmarkEnd w:id="14"/>
      <w:bookmarkEnd w:id="15"/>
      <w:bookmarkEnd w:id="16"/>
    </w:p>
    <w:p w14:paraId="35DEFE87" w14:textId="305568BD" w:rsidR="004C7296" w:rsidRPr="00287574" w:rsidRDefault="00751A44" w:rsidP="002A5C35">
      <w:pPr>
        <w:rPr>
          <w:rFonts w:cs="Arial"/>
          <w:color w:val="auto"/>
        </w:rPr>
      </w:pPr>
      <w:r w:rsidRPr="00287574">
        <w:rPr>
          <w:color w:val="auto"/>
        </w:rPr>
        <w:t>Considérant les modifications apportées aux règlements grand-ducaux en matière d'efficacité énergétique des bâtiments résidentiels et fonctionnels ainsi que de la demande sans cesse croissante en bornes de recharge, le présent outil de travail a pour but de faciliter la planification des bornes de recharge. En outre, il vise à jeter les bases d'une autoconsommation accrue de l'électricité, le cas échéant par le biais d'énergies renouvelables. Il sera ainsi possible de mettre en œuvre au Luxembourg une infrastructure de recharge pérenne et harmonisée, parée pour les évolutions à venir dans le secteur des transports (par ex., influence accrue des voitures électriques) ainsi que sur le marché de l'énergie (par ex., tarifs variables de l'électricité).</w:t>
      </w:r>
    </w:p>
    <w:p w14:paraId="579FDB06" w14:textId="77777777" w:rsidR="002A5C35" w:rsidRPr="00287574" w:rsidRDefault="002A5C35" w:rsidP="002A5C35">
      <w:pPr>
        <w:rPr>
          <w:rFonts w:cs="Arial"/>
          <w:color w:val="auto"/>
        </w:rPr>
      </w:pPr>
    </w:p>
    <w:p w14:paraId="5FDCD9D7" w14:textId="73EEA6EC" w:rsidR="00CF7C5D" w:rsidRPr="00287574" w:rsidRDefault="00CF7C5D" w:rsidP="00334846">
      <w:pPr>
        <w:pStyle w:val="Titre1"/>
        <w:numPr>
          <w:ilvl w:val="0"/>
          <w:numId w:val="17"/>
        </w:numPr>
        <w:rPr>
          <w:rFonts w:eastAsia="Times New Roman"/>
        </w:rPr>
      </w:pPr>
      <w:bookmarkStart w:id="17" w:name="_Toc22731540"/>
      <w:bookmarkStart w:id="18" w:name="_Toc37844154"/>
      <w:bookmarkStart w:id="19" w:name="_Toc40432329"/>
      <w:r w:rsidRPr="00287574">
        <w:t>Infrastructure de recharge pour véhicules électriques</w:t>
      </w:r>
      <w:bookmarkEnd w:id="17"/>
      <w:bookmarkEnd w:id="18"/>
      <w:bookmarkEnd w:id="19"/>
    </w:p>
    <w:p w14:paraId="67C20942" w14:textId="77777777" w:rsidR="00CF7C5D" w:rsidRPr="00287574" w:rsidRDefault="00CF7C5D" w:rsidP="00CF7C5D">
      <w:pPr>
        <w:rPr>
          <w:rFonts w:cs="Arial"/>
          <w:color w:val="auto"/>
        </w:rPr>
      </w:pPr>
      <w:r w:rsidRPr="00287574">
        <w:rPr>
          <w:color w:val="auto"/>
        </w:rPr>
        <w:t xml:space="preserve">Il existe différentes options pour alimenter les véhicules en énergie électrique : </w:t>
      </w:r>
    </w:p>
    <w:p w14:paraId="19EA1793" w14:textId="62EC28F3" w:rsidR="00CF7C5D" w:rsidRPr="00287574" w:rsidRDefault="00CF7C5D" w:rsidP="00CF7C5D">
      <w:pPr>
        <w:pStyle w:val="Paragraphedeliste"/>
        <w:rPr>
          <w:rFonts w:ascii="Arial" w:hAnsi="Arial" w:cs="Arial"/>
        </w:rPr>
      </w:pPr>
      <w:r w:rsidRPr="00287574">
        <w:rPr>
          <w:rFonts w:ascii="Arial" w:hAnsi="Arial"/>
        </w:rPr>
        <w:t>Pour la recharge sur courant alternatif (recharge CA), le véhicule est raccordé au réseau de courant alternatif monophasé ou triphasé via un système de recharge adapté et un câble de recharge. Le chargeur intégré au véhicule assure le redressement et contrôle la recharge de la batterie en interaction avec la station de recharge, qui transmet le courant maximal disponible.</w:t>
      </w:r>
    </w:p>
    <w:p w14:paraId="449719C6" w14:textId="18EBD81C" w:rsidR="00CF7C5D" w:rsidRPr="00287574" w:rsidRDefault="00CF7C5D" w:rsidP="00CF7C5D">
      <w:pPr>
        <w:pStyle w:val="Paragraphedeliste"/>
        <w:rPr>
          <w:rFonts w:ascii="Arial" w:hAnsi="Arial" w:cs="Arial"/>
        </w:rPr>
      </w:pPr>
      <w:r w:rsidRPr="00287574">
        <w:rPr>
          <w:rFonts w:ascii="Arial" w:hAnsi="Arial"/>
        </w:rPr>
        <w:t>La recharge sur courant continu (recharge CC) nécessite également que le véhicule soit raccordé à la station de recharge à l'aide d'un câble de recharge, le redresseur étant dans ce cas intégré à la station de recharge. La recharge est contrôlée via une interface de communication entre le véhicule et la station de recharge.</w:t>
      </w:r>
    </w:p>
    <w:p w14:paraId="73C4A3AF" w14:textId="490E24EF" w:rsidR="00CF7C5D" w:rsidRPr="00287574" w:rsidRDefault="00CF7C5D" w:rsidP="00CF7C5D">
      <w:pPr>
        <w:pStyle w:val="Paragraphedeliste"/>
        <w:rPr>
          <w:rFonts w:ascii="Arial" w:hAnsi="Arial" w:cs="Arial"/>
        </w:rPr>
      </w:pPr>
      <w:r w:rsidRPr="00287574">
        <w:rPr>
          <w:rFonts w:ascii="Arial" w:hAnsi="Arial"/>
        </w:rPr>
        <w:t>Pour la recharge inductive, l'énergie est transmise selon le principe du transformateur. Cette technologie est actuellement toujours en cours de développement et de normalisation pour les véhicules électriques. Aussi, elle n'est pas encore commercialisée à grande échelle.</w:t>
      </w:r>
    </w:p>
    <w:p w14:paraId="207F1D18" w14:textId="5AB02EC1" w:rsidR="00CF7C5D" w:rsidRPr="00287574" w:rsidRDefault="00CF7C5D" w:rsidP="00CF7C5D">
      <w:pPr>
        <w:pStyle w:val="Paragraphedeliste"/>
        <w:spacing w:after="240"/>
        <w:rPr>
          <w:rFonts w:ascii="Arial" w:hAnsi="Arial" w:cs="Arial"/>
        </w:rPr>
      </w:pPr>
      <w:r w:rsidRPr="00287574">
        <w:rPr>
          <w:rFonts w:ascii="Arial" w:hAnsi="Arial"/>
        </w:rPr>
        <w:lastRenderedPageBreak/>
        <w:t>Dans le cas du changement de batterie, la batterie vide est retirée du véhicule électrique et remplacée par une batterie chargée. Cette option n'est actuellement pas très répandue pour les voitures électriques</w:t>
      </w:r>
      <w:r w:rsidR="00023C19">
        <w:rPr>
          <w:rFonts w:ascii="Arial" w:hAnsi="Arial"/>
        </w:rPr>
        <w:t xml:space="preserve">. </w:t>
      </w:r>
      <w:proofErr w:type="gramStart"/>
      <w:r w:rsidR="00023C19">
        <w:rPr>
          <w:rFonts w:ascii="Arial" w:hAnsi="Arial"/>
        </w:rPr>
        <w:t>Par contre</w:t>
      </w:r>
      <w:proofErr w:type="gramEnd"/>
      <w:r w:rsidR="00023C19">
        <w:rPr>
          <w:rFonts w:ascii="Arial" w:hAnsi="Arial"/>
        </w:rPr>
        <w:t>, elle l’est davantage</w:t>
      </w:r>
      <w:r w:rsidRPr="00287574">
        <w:rPr>
          <w:rFonts w:ascii="Arial" w:hAnsi="Arial"/>
        </w:rPr>
        <w:t xml:space="preserve"> pour les </w:t>
      </w:r>
      <w:proofErr w:type="spellStart"/>
      <w:r w:rsidRPr="00287574">
        <w:rPr>
          <w:rFonts w:ascii="Arial" w:hAnsi="Arial"/>
        </w:rPr>
        <w:t>Pedelecs</w:t>
      </w:r>
      <w:proofErr w:type="spellEnd"/>
      <w:r w:rsidRPr="00287574">
        <w:rPr>
          <w:rFonts w:ascii="Arial" w:hAnsi="Arial"/>
        </w:rPr>
        <w:t>, vélos électriques et autres véhicules comparables.</w:t>
      </w:r>
      <w:bookmarkStart w:id="20" w:name="_Toc22731541"/>
    </w:p>
    <w:p w14:paraId="762BBB9C" w14:textId="12DA6A48" w:rsidR="00CF7C5D" w:rsidRPr="00287574" w:rsidRDefault="00CF7C5D" w:rsidP="00334846">
      <w:pPr>
        <w:pStyle w:val="Titre2"/>
      </w:pPr>
      <w:bookmarkStart w:id="21" w:name="_Toc37844155"/>
      <w:bookmarkStart w:id="22" w:name="_Toc40432330"/>
      <w:r w:rsidRPr="00287574">
        <w:t>Véhicules électriques</w:t>
      </w:r>
      <w:bookmarkEnd w:id="20"/>
      <w:bookmarkEnd w:id="21"/>
      <w:bookmarkEnd w:id="22"/>
    </w:p>
    <w:p w14:paraId="06C95174" w14:textId="350373D2" w:rsidR="00CF7C5D" w:rsidRPr="00287574" w:rsidRDefault="00CF7C5D" w:rsidP="00CF7C5D">
      <w:pPr>
        <w:rPr>
          <w:rFonts w:cs="Arial"/>
          <w:color w:val="auto"/>
        </w:rPr>
      </w:pPr>
      <w:r w:rsidRPr="00287574">
        <w:rPr>
          <w:color w:val="auto"/>
        </w:rPr>
        <w:t xml:space="preserve">Un véhicule électrique est un moyen de transport homologué pour une utilisation sur les voies et autres lieux publics ainsi que sur </w:t>
      </w:r>
      <w:r w:rsidR="00023C19">
        <w:rPr>
          <w:color w:val="auto"/>
        </w:rPr>
        <w:t xml:space="preserve">les </w:t>
      </w:r>
      <w:r w:rsidRPr="00287574">
        <w:rPr>
          <w:color w:val="auto"/>
        </w:rPr>
        <w:t>autoroute</w:t>
      </w:r>
      <w:r w:rsidR="00023C19">
        <w:rPr>
          <w:color w:val="auto"/>
        </w:rPr>
        <w:t xml:space="preserve">s. </w:t>
      </w:r>
      <w:r w:rsidR="009C103C">
        <w:rPr>
          <w:color w:val="auto"/>
        </w:rPr>
        <w:t>La voiture</w:t>
      </w:r>
      <w:r w:rsidRPr="00287574">
        <w:rPr>
          <w:color w:val="auto"/>
        </w:rPr>
        <w:t xml:space="preserve"> e</w:t>
      </w:r>
      <w:r w:rsidR="00023C19">
        <w:rPr>
          <w:color w:val="auto"/>
        </w:rPr>
        <w:t>s</w:t>
      </w:r>
      <w:r w:rsidRPr="00287574">
        <w:rPr>
          <w:color w:val="auto"/>
        </w:rPr>
        <w:t>t doté</w:t>
      </w:r>
      <w:r w:rsidR="00CE5EED">
        <w:rPr>
          <w:color w:val="auto"/>
        </w:rPr>
        <w:t>e</w:t>
      </w:r>
      <w:r w:rsidRPr="00287574">
        <w:rPr>
          <w:color w:val="auto"/>
        </w:rPr>
        <w:t xml:space="preserve"> d'un moteur électrique</w:t>
      </w:r>
      <w:r w:rsidR="00023C19">
        <w:rPr>
          <w:color w:val="auto"/>
        </w:rPr>
        <w:t xml:space="preserve"> qui</w:t>
      </w:r>
      <w:r w:rsidRPr="00287574">
        <w:rPr>
          <w:color w:val="auto"/>
        </w:rPr>
        <w:t xml:space="preserve"> tire son énergie d'une batterie de stockage rechargeable à l'aide de dispositifs de recharge appropriés soit via le réseau public, soit via l'installation électrique d'un bâtiment.</w:t>
      </w:r>
    </w:p>
    <w:p w14:paraId="74467354" w14:textId="77777777" w:rsidR="00CF7C5D" w:rsidRPr="00287574" w:rsidRDefault="00CF7C5D" w:rsidP="00CF7C5D">
      <w:pPr>
        <w:rPr>
          <w:rFonts w:cs="Arial"/>
          <w:color w:val="auto"/>
        </w:rPr>
      </w:pPr>
      <w:r w:rsidRPr="00287574">
        <w:rPr>
          <w:color w:val="auto"/>
        </w:rPr>
        <w:t>Les véhicules électriques peuvent notamment être :</w:t>
      </w:r>
    </w:p>
    <w:p w14:paraId="4DC35374" w14:textId="49699D53" w:rsidR="00CF7C5D" w:rsidRPr="00287574" w:rsidRDefault="00CF7C5D" w:rsidP="00CF7C5D">
      <w:pPr>
        <w:pStyle w:val="Paragraphedeliste"/>
        <w:rPr>
          <w:rFonts w:ascii="Arial" w:hAnsi="Arial" w:cs="Arial"/>
        </w:rPr>
      </w:pPr>
      <w:proofErr w:type="gramStart"/>
      <w:r w:rsidRPr="00287574">
        <w:rPr>
          <w:rFonts w:ascii="Arial" w:hAnsi="Arial"/>
        </w:rPr>
        <w:t>des</w:t>
      </w:r>
      <w:proofErr w:type="gramEnd"/>
      <w:r w:rsidRPr="00287574">
        <w:rPr>
          <w:rFonts w:ascii="Arial" w:hAnsi="Arial"/>
        </w:rPr>
        <w:t xml:space="preserve"> </w:t>
      </w:r>
      <w:proofErr w:type="spellStart"/>
      <w:r w:rsidRPr="00287574">
        <w:rPr>
          <w:rFonts w:ascii="Arial" w:hAnsi="Arial"/>
        </w:rPr>
        <w:t>Pedelecs</w:t>
      </w:r>
      <w:proofErr w:type="spellEnd"/>
      <w:r w:rsidRPr="00287574">
        <w:rPr>
          <w:rFonts w:ascii="Arial" w:hAnsi="Arial"/>
        </w:rPr>
        <w:t xml:space="preserve"> (vélos à propulsion auxiliaire électrique pour assister le mécanisme à </w:t>
      </w:r>
      <w:r w:rsidR="00023C19">
        <w:rPr>
          <w:rFonts w:ascii="Arial" w:hAnsi="Arial"/>
        </w:rPr>
        <w:t>pédale</w:t>
      </w:r>
      <w:r w:rsidRPr="00287574">
        <w:rPr>
          <w:rFonts w:ascii="Arial" w:hAnsi="Arial"/>
        </w:rPr>
        <w:t>),</w:t>
      </w:r>
    </w:p>
    <w:p w14:paraId="59655F62" w14:textId="77777777" w:rsidR="00CF7C5D" w:rsidRPr="00287574" w:rsidRDefault="00CF7C5D" w:rsidP="00CF7C5D">
      <w:pPr>
        <w:pStyle w:val="Paragraphedeliste"/>
        <w:rPr>
          <w:rFonts w:ascii="Arial" w:hAnsi="Arial" w:cs="Arial"/>
        </w:rPr>
      </w:pPr>
      <w:proofErr w:type="gramStart"/>
      <w:r w:rsidRPr="00287574">
        <w:rPr>
          <w:rFonts w:ascii="Arial" w:hAnsi="Arial"/>
        </w:rPr>
        <w:t>des</w:t>
      </w:r>
      <w:proofErr w:type="gramEnd"/>
      <w:r w:rsidRPr="00287574">
        <w:rPr>
          <w:rFonts w:ascii="Arial" w:hAnsi="Arial"/>
        </w:rPr>
        <w:t xml:space="preserve"> cycles électriques (deux-roues pouvant également être dotés d'une propulsion exclusivement électrique),</w:t>
      </w:r>
    </w:p>
    <w:p w14:paraId="21090F11" w14:textId="33DBC5CF" w:rsidR="00CF7C5D" w:rsidRPr="00287574" w:rsidRDefault="00CF7C5D" w:rsidP="00CF7C5D">
      <w:pPr>
        <w:pStyle w:val="Paragraphedeliste"/>
        <w:rPr>
          <w:rFonts w:ascii="Arial" w:hAnsi="Arial" w:cs="Arial"/>
        </w:rPr>
      </w:pPr>
      <w:proofErr w:type="gramStart"/>
      <w:r w:rsidRPr="00287574">
        <w:rPr>
          <w:rFonts w:ascii="Arial" w:hAnsi="Arial"/>
        </w:rPr>
        <w:t>des</w:t>
      </w:r>
      <w:proofErr w:type="gramEnd"/>
      <w:r w:rsidRPr="00287574">
        <w:rPr>
          <w:rFonts w:ascii="Arial" w:hAnsi="Arial"/>
        </w:rPr>
        <w:t xml:space="preserve"> scooters (scooters à propulsion électrique, </w:t>
      </w:r>
      <w:proofErr w:type="spellStart"/>
      <w:r w:rsidRPr="00287574">
        <w:rPr>
          <w:rFonts w:ascii="Arial" w:hAnsi="Arial"/>
        </w:rPr>
        <w:t>Easy</w:t>
      </w:r>
      <w:proofErr w:type="spellEnd"/>
      <w:r w:rsidRPr="00287574">
        <w:rPr>
          <w:rFonts w:ascii="Arial" w:hAnsi="Arial"/>
        </w:rPr>
        <w:t xml:space="preserve"> Cruiser (</w:t>
      </w:r>
      <w:proofErr w:type="spellStart"/>
      <w:r w:rsidRPr="00287574">
        <w:rPr>
          <w:rFonts w:ascii="Arial" w:hAnsi="Arial"/>
        </w:rPr>
        <w:t>Segway</w:t>
      </w:r>
      <w:proofErr w:type="spellEnd"/>
      <w:r w:rsidRPr="00287574">
        <w:rPr>
          <w:rFonts w:ascii="Arial" w:hAnsi="Arial"/>
        </w:rPr>
        <w:t>) à propulsion électrique et scooters à trois ou quatre roues à propulsion électrique),</w:t>
      </w:r>
    </w:p>
    <w:p w14:paraId="7393B832" w14:textId="11406FE4" w:rsidR="00CF7C5D" w:rsidRPr="00287574" w:rsidRDefault="00CF7C5D" w:rsidP="00CF7C5D">
      <w:pPr>
        <w:pStyle w:val="Paragraphedeliste"/>
        <w:rPr>
          <w:rFonts w:ascii="Arial" w:hAnsi="Arial" w:cs="Arial"/>
        </w:rPr>
      </w:pPr>
      <w:proofErr w:type="gramStart"/>
      <w:r w:rsidRPr="00287574">
        <w:rPr>
          <w:rFonts w:ascii="Arial" w:hAnsi="Arial"/>
        </w:rPr>
        <w:t>des</w:t>
      </w:r>
      <w:proofErr w:type="gramEnd"/>
      <w:r w:rsidRPr="00287574">
        <w:rPr>
          <w:rFonts w:ascii="Arial" w:hAnsi="Arial"/>
        </w:rPr>
        <w:t xml:space="preserve"> voitures à propulsion purement électrique,</w:t>
      </w:r>
    </w:p>
    <w:p w14:paraId="050E38C6" w14:textId="70114190" w:rsidR="00CF7C5D" w:rsidRPr="00287574" w:rsidRDefault="00CF7C5D" w:rsidP="00CF7C5D">
      <w:pPr>
        <w:pStyle w:val="Paragraphedeliste"/>
        <w:rPr>
          <w:rFonts w:ascii="Arial" w:hAnsi="Arial" w:cs="Arial"/>
        </w:rPr>
      </w:pPr>
      <w:proofErr w:type="gramStart"/>
      <w:r w:rsidRPr="00287574">
        <w:rPr>
          <w:rFonts w:ascii="Arial" w:hAnsi="Arial"/>
        </w:rPr>
        <w:t>des</w:t>
      </w:r>
      <w:proofErr w:type="gramEnd"/>
      <w:r w:rsidRPr="00287574">
        <w:rPr>
          <w:rFonts w:ascii="Arial" w:hAnsi="Arial"/>
        </w:rPr>
        <w:t xml:space="preserve"> voitures à propulsion hybride (combinaison de moteur électrique et de moteur à combustion),</w:t>
      </w:r>
    </w:p>
    <w:p w14:paraId="20F41721" w14:textId="610D12F1" w:rsidR="003065A3" w:rsidRPr="00287574" w:rsidRDefault="003065A3" w:rsidP="00CF7C5D">
      <w:pPr>
        <w:pStyle w:val="Paragraphedeliste"/>
        <w:rPr>
          <w:rFonts w:ascii="Arial" w:hAnsi="Arial" w:cs="Arial"/>
        </w:rPr>
      </w:pPr>
      <w:proofErr w:type="gramStart"/>
      <w:r w:rsidRPr="00287574">
        <w:rPr>
          <w:rFonts w:ascii="Arial" w:hAnsi="Arial"/>
        </w:rPr>
        <w:t>des</w:t>
      </w:r>
      <w:proofErr w:type="gramEnd"/>
      <w:r w:rsidRPr="00287574">
        <w:rPr>
          <w:rFonts w:ascii="Arial" w:hAnsi="Arial"/>
        </w:rPr>
        <w:t xml:space="preserve"> véhicules utilitaires légers (&lt;3,5 t) à propulsion électrique (minibus, camionnettes),</w:t>
      </w:r>
    </w:p>
    <w:p w14:paraId="31ED2EEA" w14:textId="4D9C9B77" w:rsidR="003065A3" w:rsidRPr="00287574" w:rsidRDefault="003065A3" w:rsidP="00CF7C5D">
      <w:pPr>
        <w:pStyle w:val="Paragraphedeliste"/>
        <w:rPr>
          <w:rFonts w:ascii="Arial" w:hAnsi="Arial" w:cs="Arial"/>
        </w:rPr>
      </w:pPr>
      <w:proofErr w:type="gramStart"/>
      <w:r w:rsidRPr="00287574">
        <w:rPr>
          <w:rFonts w:ascii="Arial" w:hAnsi="Arial"/>
        </w:rPr>
        <w:t>des</w:t>
      </w:r>
      <w:proofErr w:type="gramEnd"/>
      <w:r w:rsidRPr="00287574">
        <w:rPr>
          <w:rFonts w:ascii="Arial" w:hAnsi="Arial"/>
        </w:rPr>
        <w:t xml:space="preserve"> véhicules utilitaires légers (&lt;3,5 t) à propulsion hybride.</w:t>
      </w:r>
    </w:p>
    <w:p w14:paraId="0DA4B8E8" w14:textId="77777777" w:rsidR="00CF7C5D" w:rsidRPr="00287574" w:rsidRDefault="00CF7C5D" w:rsidP="00CF7C5D">
      <w:pPr>
        <w:pStyle w:val="freerow"/>
        <w:rPr>
          <w:rFonts w:ascii="Arial" w:hAnsi="Arial" w:cs="Arial"/>
        </w:rPr>
      </w:pPr>
    </w:p>
    <w:p w14:paraId="03565FDF" w14:textId="607F1BAD" w:rsidR="00CF7C5D" w:rsidRPr="00287574" w:rsidRDefault="00CF7C5D" w:rsidP="00CF7C5D">
      <w:pPr>
        <w:rPr>
          <w:rFonts w:cs="Arial"/>
          <w:color w:val="auto"/>
        </w:rPr>
      </w:pPr>
      <w:r w:rsidRPr="00287574">
        <w:rPr>
          <w:color w:val="auto"/>
        </w:rPr>
        <w:t xml:space="preserve">Selon le type de véhicule, les dispositifs de recharge correspondants sont classés en fonction de la puissance de recharge ou du courant de recharge. Les indications du constructeur sur les courants et les temps de recharge ainsi que sur les modes de recharge appropriés pour </w:t>
      </w:r>
      <w:r w:rsidR="009C103C">
        <w:rPr>
          <w:color w:val="auto"/>
        </w:rPr>
        <w:t>ce type de véhicule électrique</w:t>
      </w:r>
      <w:r w:rsidRPr="00287574">
        <w:rPr>
          <w:color w:val="auto"/>
        </w:rPr>
        <w:t xml:space="preserve"> doivent donc être respectées.</w:t>
      </w:r>
    </w:p>
    <w:p w14:paraId="23A89B58" w14:textId="73C54B7F" w:rsidR="00CF7C5D" w:rsidRPr="00287574" w:rsidRDefault="00CF7C5D" w:rsidP="00CF7C5D">
      <w:pPr>
        <w:rPr>
          <w:rFonts w:cs="Arial"/>
          <w:color w:val="auto"/>
        </w:rPr>
      </w:pPr>
      <w:r w:rsidRPr="00287574">
        <w:rPr>
          <w:color w:val="auto"/>
        </w:rPr>
        <w:t xml:space="preserve">L'installation électrique pour l'alimentation d'un dispositif de recharge pour véhicules électriques doit être dimensionnée pour le mode de recharge prévu ou requis. Si plusieurs dispositifs ou points de recharge sont alimentés par une même installation électrique, un facteur de simultanéité de 1 doit être observé en cas d'utilisation simultanée, ou </w:t>
      </w:r>
      <w:r w:rsidR="00023C19">
        <w:rPr>
          <w:color w:val="auto"/>
        </w:rPr>
        <w:t>alors</w:t>
      </w:r>
      <w:r w:rsidR="00023C19" w:rsidRPr="00287574">
        <w:rPr>
          <w:color w:val="auto"/>
        </w:rPr>
        <w:t xml:space="preserve"> </w:t>
      </w:r>
      <w:r w:rsidRPr="00287574">
        <w:rPr>
          <w:color w:val="auto"/>
        </w:rPr>
        <w:t>un système de gestion de la recharge doit être utilisé (voir le chapitre Communication).</w:t>
      </w:r>
    </w:p>
    <w:p w14:paraId="165C54B1" w14:textId="1C46320C" w:rsidR="00CF7C5D" w:rsidRPr="00287574" w:rsidRDefault="00CF7C5D" w:rsidP="00334846">
      <w:pPr>
        <w:pStyle w:val="Titre2"/>
      </w:pPr>
      <w:bookmarkStart w:id="23" w:name="_Toc510619646"/>
      <w:bookmarkStart w:id="24" w:name="_Toc22731542"/>
      <w:bookmarkStart w:id="25" w:name="_Toc37844156"/>
      <w:bookmarkStart w:id="26" w:name="_Toc40432331"/>
      <w:r w:rsidRPr="00287574">
        <w:t>Modes de recharge</w:t>
      </w:r>
      <w:bookmarkEnd w:id="23"/>
      <w:bookmarkEnd w:id="24"/>
      <w:bookmarkEnd w:id="25"/>
      <w:bookmarkEnd w:id="26"/>
    </w:p>
    <w:p w14:paraId="6F29B5FB" w14:textId="707AE91D" w:rsidR="00CF7C5D" w:rsidRPr="00287574" w:rsidRDefault="00CF7C5D" w:rsidP="00CF7C5D">
      <w:pPr>
        <w:rPr>
          <w:rFonts w:cs="Arial"/>
          <w:color w:val="auto"/>
        </w:rPr>
      </w:pPr>
      <w:r w:rsidRPr="00287574">
        <w:rPr>
          <w:color w:val="auto"/>
        </w:rPr>
        <w:t>Pour la recharge sur courant alternatif (recharge CA), il existe quatre modes distincts définis par la norme CEI 61851. En Europe s'est imposée la fiche de type 2 (norme EN 62196-2) qui, outre la transmission d'énergie monophasée ou triphasée, facilite également la communication entre le véhicule et la station de recharge. Par le biais de cette interface, la station de recharge transmet au véhicule la disponibilité de recharge, ainsi que le courant de recharge maximal admissible qui est ensuite appliqué par le chargeur intégré au véhicule.</w:t>
      </w:r>
    </w:p>
    <w:p w14:paraId="2E375A6B" w14:textId="4FEF729F" w:rsidR="00CF7C5D" w:rsidRPr="00287574" w:rsidRDefault="00CF7C5D" w:rsidP="00CF7C5D">
      <w:pPr>
        <w:rPr>
          <w:rFonts w:cs="Arial"/>
          <w:color w:val="auto"/>
        </w:rPr>
      </w:pPr>
      <w:r w:rsidRPr="00287574">
        <w:rPr>
          <w:color w:val="auto"/>
        </w:rPr>
        <w:t xml:space="preserve">Pour des raisons de coût et du fait des différentes normes en matière d'approvisionnement énergétique selon les pays (raccordements domestiques monophasés dans de nombreux pays </w:t>
      </w:r>
      <w:r w:rsidRPr="00287574">
        <w:rPr>
          <w:color w:val="auto"/>
        </w:rPr>
        <w:lastRenderedPageBreak/>
        <w:t xml:space="preserve">d'Europe, par ex. en France), les véhicules actuels sont souvent proposés uniquement en version monophasée (presque tous les PHEV ou BEV des constructeurs asiatiques et britanniques) ou biphasée, même lorsque la station de recharge est raccordée en triphasé. Un courant minimal de 6 A est spécifié par la norme CEI 61851 pour la recharge sur courant alternatif. Ainsi, la station de recharge peut limiter la puissance disponible, par ex., </w:t>
      </w:r>
      <w:r w:rsidR="001401F7">
        <w:rPr>
          <w:color w:val="auto"/>
        </w:rPr>
        <w:t xml:space="preserve">à </w:t>
      </w:r>
      <w:r w:rsidRPr="00287574">
        <w:rPr>
          <w:color w:val="auto"/>
        </w:rPr>
        <w:t xml:space="preserve">4,1 kW (triphasé) ou 1,4 kW (monophasé), ce que de nombreuses voitures électriques ne </w:t>
      </w:r>
      <w:r w:rsidR="001401F7">
        <w:rPr>
          <w:color w:val="auto"/>
        </w:rPr>
        <w:t>peuvent</w:t>
      </w:r>
      <w:r w:rsidR="001401F7" w:rsidRPr="00287574">
        <w:rPr>
          <w:color w:val="auto"/>
        </w:rPr>
        <w:t xml:space="preserve"> </w:t>
      </w:r>
      <w:r w:rsidR="00E00B51">
        <w:rPr>
          <w:color w:val="auto"/>
        </w:rPr>
        <w:t>supporter</w:t>
      </w:r>
      <w:r w:rsidR="009F526B">
        <w:rPr>
          <w:color w:val="auto"/>
        </w:rPr>
        <w:t>.</w:t>
      </w:r>
      <w:r w:rsidRPr="00287574">
        <w:rPr>
          <w:color w:val="auto"/>
        </w:rPr>
        <w:t xml:space="preserve"> </w:t>
      </w:r>
      <w:r w:rsidR="009F526B">
        <w:rPr>
          <w:color w:val="auto"/>
        </w:rPr>
        <w:t xml:space="preserve">Une </w:t>
      </w:r>
      <w:r w:rsidRPr="00287574">
        <w:rPr>
          <w:color w:val="auto"/>
        </w:rPr>
        <w:t>interruption totale de la recharge par ex. en deçà de 13 A</w:t>
      </w:r>
      <w:r w:rsidR="009F526B">
        <w:rPr>
          <w:color w:val="auto"/>
        </w:rPr>
        <w:t xml:space="preserve"> est alors prévisible</w:t>
      </w:r>
      <w:r w:rsidRPr="00287574">
        <w:rPr>
          <w:color w:val="auto"/>
        </w:rPr>
        <w:t>. La plupart du temps, le processus de recharge n'est pas automatiquement restauré après une interruption (par ex., alimentation électrique).</w:t>
      </w:r>
    </w:p>
    <w:p w14:paraId="1C9474A5" w14:textId="77777777" w:rsidR="00CF7C5D" w:rsidRPr="00287574" w:rsidRDefault="00CF7C5D" w:rsidP="00CF7C5D">
      <w:pPr>
        <w:rPr>
          <w:rFonts w:cs="Arial"/>
          <w:color w:val="auto"/>
        </w:rPr>
      </w:pPr>
      <w:r w:rsidRPr="00287574">
        <w:rPr>
          <w:color w:val="auto"/>
        </w:rPr>
        <w:t>Du fait de leur omniprésence dans les bâtiments résidentiels ou fonctionnels, seuls les modes de recharge 2 et 3 sont décrits plus en détail :</w:t>
      </w:r>
    </w:p>
    <w:p w14:paraId="064B9325" w14:textId="314A21BE" w:rsidR="00CF7C5D" w:rsidRPr="00287574" w:rsidRDefault="00CF7C5D" w:rsidP="00CF7C5D">
      <w:pPr>
        <w:spacing w:after="0"/>
        <w:rPr>
          <w:rFonts w:cs="Arial"/>
          <w:b/>
          <w:bCs/>
          <w:color w:val="auto"/>
        </w:rPr>
      </w:pPr>
      <w:bookmarkStart w:id="27" w:name="_Toc510619648"/>
      <w:r w:rsidRPr="00287574">
        <w:rPr>
          <w:b/>
          <w:bCs/>
          <w:color w:val="auto"/>
        </w:rPr>
        <w:t>Mode de recharge 2 (mode 2)</w:t>
      </w:r>
      <w:bookmarkEnd w:id="27"/>
    </w:p>
    <w:p w14:paraId="1C58A492" w14:textId="0004AF7E" w:rsidR="00CF7C5D" w:rsidRPr="00287574" w:rsidRDefault="00CF7C5D" w:rsidP="00CF7C5D">
      <w:pPr>
        <w:pStyle w:val="Paragraphedeliste"/>
        <w:rPr>
          <w:rFonts w:ascii="Arial" w:hAnsi="Arial" w:cs="Arial"/>
        </w:rPr>
      </w:pPr>
      <w:r w:rsidRPr="00287574">
        <w:rPr>
          <w:rFonts w:ascii="Arial" w:hAnsi="Arial"/>
        </w:rPr>
        <w:t xml:space="preserve">Convient pour recharger la plupart des voitures électriques disponibles </w:t>
      </w:r>
      <w:r w:rsidR="009A2BC6">
        <w:rPr>
          <w:rFonts w:ascii="Arial" w:hAnsi="Arial"/>
        </w:rPr>
        <w:t>sur le marché</w:t>
      </w:r>
    </w:p>
    <w:p w14:paraId="2D9E12DD" w14:textId="39715441" w:rsidR="00245464" w:rsidRPr="00287574" w:rsidRDefault="006C7FF1" w:rsidP="00DA563B">
      <w:pPr>
        <w:pStyle w:val="Paragraphedeliste"/>
        <w:rPr>
          <w:rFonts w:ascii="Arial" w:hAnsi="Arial" w:cs="Arial"/>
        </w:rPr>
      </w:pPr>
      <w:r w:rsidRPr="00287574">
        <w:rPr>
          <w:rFonts w:ascii="Arial" w:hAnsi="Arial"/>
        </w:rPr>
        <w:t xml:space="preserve">Recharge </w:t>
      </w:r>
      <w:r w:rsidRPr="00287574">
        <w:rPr>
          <w:rFonts w:ascii="Arial" w:hAnsi="Arial"/>
          <w:b/>
          <w:bCs/>
        </w:rPr>
        <w:t>occasionnelle</w:t>
      </w:r>
      <w:r w:rsidRPr="00287574">
        <w:rPr>
          <w:rFonts w:ascii="Arial" w:hAnsi="Arial"/>
        </w:rPr>
        <w:t xml:space="preserve"> sur courant alternatif par le biais d'une prise </w:t>
      </w:r>
      <w:r w:rsidRPr="00E85F7B">
        <w:rPr>
          <w:rFonts w:ascii="Arial" w:hAnsi="Arial"/>
        </w:rPr>
        <w:t xml:space="preserve">standard </w:t>
      </w:r>
      <w:r w:rsidR="009C5F66" w:rsidRPr="00E85F7B">
        <w:rPr>
          <w:rFonts w:ascii="Arial" w:hAnsi="Arial"/>
        </w:rPr>
        <w:t>(</w:t>
      </w:r>
      <w:proofErr w:type="spellStart"/>
      <w:r w:rsidR="009C5F66" w:rsidRPr="00E85F7B">
        <w:rPr>
          <w:rFonts w:ascii="Arial" w:hAnsi="Arial"/>
        </w:rPr>
        <w:t>Schuko</w:t>
      </w:r>
      <w:proofErr w:type="spellEnd"/>
      <w:r w:rsidR="009C5F66" w:rsidRPr="00E85F7B">
        <w:rPr>
          <w:rFonts w:ascii="Arial" w:hAnsi="Arial"/>
        </w:rPr>
        <w:t xml:space="preserve">) </w:t>
      </w:r>
      <w:r w:rsidRPr="00E85F7B">
        <w:rPr>
          <w:rFonts w:ascii="Arial" w:hAnsi="Arial"/>
        </w:rPr>
        <w:t xml:space="preserve">avec </w:t>
      </w:r>
      <w:r w:rsidRPr="00287574">
        <w:rPr>
          <w:rFonts w:ascii="Arial" w:hAnsi="Arial"/>
        </w:rPr>
        <w:t xml:space="preserve">terre (voir la norme DIN 49440/441) ou </w:t>
      </w:r>
      <w:r w:rsidRPr="00287574">
        <w:rPr>
          <w:rFonts w:ascii="Arial" w:hAnsi="Arial"/>
          <w:b/>
          <w:bCs/>
        </w:rPr>
        <w:t>recharge régulière</w:t>
      </w:r>
      <w:r w:rsidRPr="00287574">
        <w:rPr>
          <w:rFonts w:ascii="Arial" w:hAnsi="Arial"/>
        </w:rPr>
        <w:t xml:space="preserve"> par le biais de prises CEE, chacune avec un circuit distinct</w:t>
      </w:r>
    </w:p>
    <w:p w14:paraId="2A4EDF5B" w14:textId="6286684D" w:rsidR="00CF7C5D" w:rsidRPr="00287574" w:rsidRDefault="00CF7C5D" w:rsidP="00CF7C5D">
      <w:pPr>
        <w:pStyle w:val="Paragraphedeliste"/>
        <w:rPr>
          <w:rFonts w:ascii="Arial" w:hAnsi="Arial" w:cs="Arial"/>
        </w:rPr>
      </w:pPr>
      <w:r w:rsidRPr="00287574">
        <w:rPr>
          <w:rFonts w:ascii="Arial" w:hAnsi="Arial"/>
        </w:rPr>
        <w:t>Vérifier la compatibilité du câble de recharge avec le connecteur du véhicule (en Europe, CEI type 2)</w:t>
      </w:r>
    </w:p>
    <w:p w14:paraId="2EDB6D8B" w14:textId="157148F5" w:rsidR="00CF7C5D" w:rsidRPr="00287574" w:rsidRDefault="00CF7C5D" w:rsidP="00CF7C5D">
      <w:pPr>
        <w:pStyle w:val="Paragraphedeliste"/>
        <w:rPr>
          <w:rFonts w:ascii="Arial" w:hAnsi="Arial" w:cs="Arial"/>
        </w:rPr>
      </w:pPr>
      <w:r w:rsidRPr="00287574">
        <w:rPr>
          <w:rFonts w:ascii="Arial" w:hAnsi="Arial"/>
        </w:rPr>
        <w:t>Communication entre le véhicule et l'infrastructure via un boîtier de commande (IC-CPD)</w:t>
      </w:r>
    </w:p>
    <w:p w14:paraId="33062BEA" w14:textId="24B294C0" w:rsidR="00CF7C5D" w:rsidRPr="00287574" w:rsidRDefault="00CF7C5D" w:rsidP="00CF7C5D">
      <w:pPr>
        <w:pStyle w:val="Paragraphedeliste"/>
        <w:rPr>
          <w:rFonts w:ascii="Arial" w:hAnsi="Arial" w:cs="Arial"/>
        </w:rPr>
      </w:pPr>
      <w:r w:rsidRPr="00287574">
        <w:rPr>
          <w:rFonts w:ascii="Arial" w:hAnsi="Arial"/>
        </w:rPr>
        <w:t>Gain d'autonomie d'environ 10 km pour une heure de recharge (monophasé 10 A * 230 V = 2,3 kW * 1 h = 2,3 kWh).</w:t>
      </w:r>
    </w:p>
    <w:p w14:paraId="46EBA96A" w14:textId="595C32C7" w:rsidR="00CF7C5D" w:rsidRPr="00287574" w:rsidRDefault="00CF7C5D" w:rsidP="00CF7C5D">
      <w:pPr>
        <w:spacing w:after="0"/>
        <w:rPr>
          <w:rFonts w:cs="Arial"/>
          <w:b/>
          <w:bCs/>
          <w:color w:val="auto"/>
        </w:rPr>
      </w:pPr>
      <w:bookmarkStart w:id="28" w:name="_Toc510619649"/>
      <w:r w:rsidRPr="00287574">
        <w:rPr>
          <w:b/>
          <w:bCs/>
          <w:color w:val="auto"/>
        </w:rPr>
        <w:t>Mode de recharge 3 (mode 3)</w:t>
      </w:r>
      <w:bookmarkEnd w:id="28"/>
    </w:p>
    <w:p w14:paraId="59CF2611" w14:textId="4ECD355C" w:rsidR="00CF7C5D" w:rsidRPr="00287574" w:rsidRDefault="00CF7C5D" w:rsidP="00CF7C5D">
      <w:pPr>
        <w:pStyle w:val="Paragraphedeliste"/>
        <w:rPr>
          <w:rFonts w:ascii="Arial" w:hAnsi="Arial" w:cs="Arial"/>
        </w:rPr>
      </w:pPr>
      <w:r w:rsidRPr="00287574">
        <w:rPr>
          <w:rFonts w:ascii="Arial" w:hAnsi="Arial"/>
        </w:rPr>
        <w:t xml:space="preserve">Convient pour recharger régulièrement la plupart des voitures électriques disponibles </w:t>
      </w:r>
      <w:r w:rsidR="009A2BC6">
        <w:rPr>
          <w:rFonts w:ascii="Arial" w:hAnsi="Arial"/>
        </w:rPr>
        <w:t>sur le marché</w:t>
      </w:r>
    </w:p>
    <w:p w14:paraId="7AF43CDA" w14:textId="5582D7DA" w:rsidR="00CF7C5D" w:rsidRPr="00287574" w:rsidRDefault="00CF7C5D" w:rsidP="00CF7C5D">
      <w:pPr>
        <w:pStyle w:val="Paragraphedeliste"/>
        <w:rPr>
          <w:rFonts w:ascii="Arial" w:hAnsi="Arial" w:cs="Arial"/>
        </w:rPr>
      </w:pPr>
      <w:r w:rsidRPr="00287574">
        <w:rPr>
          <w:rFonts w:ascii="Arial" w:hAnsi="Arial"/>
        </w:rPr>
        <w:t xml:space="preserve">Recharge accélérée jusqu'à 22 kW, recharge rapide au-delà de 22 kW possible, </w:t>
      </w:r>
      <w:r w:rsidR="00DE7BAA">
        <w:rPr>
          <w:rFonts w:ascii="Arial" w:hAnsi="Arial"/>
        </w:rPr>
        <w:t>supportée</w:t>
      </w:r>
      <w:r w:rsidRPr="00287574">
        <w:rPr>
          <w:rFonts w:ascii="Arial" w:hAnsi="Arial"/>
        </w:rPr>
        <w:t xml:space="preserve"> par très peu de véhicules</w:t>
      </w:r>
    </w:p>
    <w:p w14:paraId="06CF7FDE" w14:textId="7C425862" w:rsidR="00CF7C5D" w:rsidRPr="00287574" w:rsidRDefault="00CF7C5D" w:rsidP="00CF7C5D">
      <w:pPr>
        <w:pStyle w:val="Paragraphedeliste"/>
        <w:rPr>
          <w:rFonts w:ascii="Arial" w:hAnsi="Arial" w:cs="Arial"/>
        </w:rPr>
      </w:pPr>
      <w:r w:rsidRPr="00287574">
        <w:rPr>
          <w:rFonts w:ascii="Arial" w:hAnsi="Arial"/>
        </w:rPr>
        <w:t>Recharge sur courant alternatif par le biais d'une station de recharge fixe, la plupart du temps sous la forme d'un boîtier mural dans le bâtiment</w:t>
      </w:r>
    </w:p>
    <w:p w14:paraId="6169271C" w14:textId="29C2A794" w:rsidR="00CF7C5D" w:rsidRPr="00287574" w:rsidRDefault="00EF5815" w:rsidP="00CF7C5D">
      <w:pPr>
        <w:pStyle w:val="Paragraphedeliste"/>
        <w:rPr>
          <w:rFonts w:ascii="Arial" w:hAnsi="Arial" w:cs="Arial"/>
        </w:rPr>
      </w:pPr>
      <w:r w:rsidRPr="00287574">
        <w:rPr>
          <w:rFonts w:ascii="Arial" w:hAnsi="Arial"/>
        </w:rPr>
        <w:t>Le câble de recharge peut être intégré dans le boîtier mural. Vérifier la compatibilité avec le connecteur du véhicule (en Europe, CEI type 2 / norme EN 62196-2)</w:t>
      </w:r>
    </w:p>
    <w:p w14:paraId="1A0E579B" w14:textId="41443EC6" w:rsidR="00CF7C5D" w:rsidRPr="00287574" w:rsidRDefault="00CF7C5D" w:rsidP="00CF7C5D">
      <w:pPr>
        <w:pStyle w:val="Paragraphedeliste"/>
        <w:rPr>
          <w:rFonts w:ascii="Arial" w:hAnsi="Arial" w:cs="Arial"/>
        </w:rPr>
      </w:pPr>
      <w:r w:rsidRPr="00287574">
        <w:rPr>
          <w:rFonts w:ascii="Arial" w:hAnsi="Arial"/>
        </w:rPr>
        <w:t>Communication entre le véhicule et l'infrastructure via le boîtier mural</w:t>
      </w:r>
    </w:p>
    <w:p w14:paraId="3343A782" w14:textId="179FA069" w:rsidR="00CF7C5D" w:rsidRPr="00287574" w:rsidRDefault="00CF7C5D" w:rsidP="00CF7C5D">
      <w:pPr>
        <w:pStyle w:val="Paragraphedeliste"/>
        <w:rPr>
          <w:rFonts w:ascii="Arial" w:hAnsi="Arial" w:cs="Arial"/>
        </w:rPr>
      </w:pPr>
      <w:r w:rsidRPr="00287574">
        <w:rPr>
          <w:rFonts w:ascii="Arial" w:hAnsi="Arial"/>
        </w:rPr>
        <w:t xml:space="preserve">En moyenne 50 km pour </w:t>
      </w:r>
      <w:r w:rsidR="009A2BC6">
        <w:rPr>
          <w:rFonts w:ascii="Arial" w:hAnsi="Arial"/>
        </w:rPr>
        <w:t xml:space="preserve">une </w:t>
      </w:r>
      <w:r w:rsidRPr="00287574">
        <w:rPr>
          <w:rFonts w:ascii="Arial" w:hAnsi="Arial"/>
        </w:rPr>
        <w:t>heure de recharge (triphasé 16 A * 400 V * √3 = 11 kW * 1 h = 11 kWh) ; pour les véhicules avec raccordement monophasé, 3,7 kWh ou environ 20 km pour une heure de recharge</w:t>
      </w:r>
    </w:p>
    <w:p w14:paraId="56E576EB" w14:textId="77777777" w:rsidR="00446182" w:rsidRPr="00287574" w:rsidRDefault="00CF7C5D" w:rsidP="00CF7C5D">
      <w:pPr>
        <w:rPr>
          <w:rFonts w:cs="Arial"/>
          <w:color w:val="auto"/>
        </w:rPr>
      </w:pPr>
      <w:bookmarkStart w:id="29" w:name="_Toc510619650"/>
      <w:r w:rsidRPr="00287574">
        <w:rPr>
          <w:color w:val="auto"/>
        </w:rPr>
        <w:t xml:space="preserve">Pour des raisons de confort et de sécurité, l'installation d'une station de recharge murale est recommandée pour les infrastructures de recharge privées dans des bâtiments résidentiels. Cela est principalement dû au fait que les prises domestiques usuelles ne sont pas conçues pour un fonctionnement en continu avec des courants élevés et que la commande par le système de gestion de la recharge n'est pas possible. </w:t>
      </w:r>
    </w:p>
    <w:p w14:paraId="40ED6F73" w14:textId="24A48740" w:rsidR="00CF7C5D" w:rsidRPr="00287574" w:rsidRDefault="00CF7C5D" w:rsidP="00CF7C5D">
      <w:pPr>
        <w:rPr>
          <w:rFonts w:cs="Arial"/>
          <w:color w:val="auto"/>
        </w:rPr>
      </w:pPr>
      <w:r w:rsidRPr="00287574">
        <w:rPr>
          <w:color w:val="auto"/>
        </w:rPr>
        <w:t>Les variantes de raccordement décrites au chapitre suivant se rapportent au mode de recharge 3 (avec boîtier mural).</w:t>
      </w:r>
      <w:bookmarkEnd w:id="29"/>
    </w:p>
    <w:p w14:paraId="6FD95DAD" w14:textId="0289F8AD" w:rsidR="00CF7C5D" w:rsidRPr="00287574" w:rsidRDefault="00CF7C5D" w:rsidP="00334846">
      <w:pPr>
        <w:pStyle w:val="Titre2"/>
      </w:pPr>
      <w:bookmarkStart w:id="30" w:name="_Toc22731543"/>
      <w:bookmarkStart w:id="31" w:name="_Toc37844157"/>
      <w:bookmarkStart w:id="32" w:name="_Toc40432332"/>
      <w:r w:rsidRPr="00287574">
        <w:lastRenderedPageBreak/>
        <w:t>Typologie des circuits de recharge et des stations de recharge murales (boîtiers muraux) disponibles</w:t>
      </w:r>
      <w:bookmarkEnd w:id="30"/>
      <w:bookmarkEnd w:id="31"/>
      <w:bookmarkEnd w:id="32"/>
    </w:p>
    <w:p w14:paraId="00EB99F5" w14:textId="0F4D2D63" w:rsidR="00CF7C5D" w:rsidRPr="00287574" w:rsidRDefault="00CF7C5D" w:rsidP="00CF7C5D">
      <w:pPr>
        <w:rPr>
          <w:rFonts w:cs="Arial"/>
          <w:color w:val="auto"/>
        </w:rPr>
      </w:pPr>
      <w:r w:rsidRPr="00287574">
        <w:rPr>
          <w:color w:val="auto"/>
        </w:rPr>
        <w:t>Le circuit de recharge d'un véhicule électrique est un circuit distinct qui ne doit présenter aucun point de raccordement à d'autres consommateurs électriques. Les données nominales sont présentées dans le tableau ci-dessous.</w:t>
      </w:r>
    </w:p>
    <w:p w14:paraId="697DF2E4" w14:textId="67029D66" w:rsidR="00CF7C5D" w:rsidRPr="00287574" w:rsidRDefault="00CF7C5D" w:rsidP="00CF7C5D">
      <w:pPr>
        <w:pStyle w:val="Tabelle"/>
        <w:rPr>
          <w:rFonts w:ascii="Arial" w:hAnsi="Arial" w:cs="Arial"/>
          <w:b/>
          <w:bCs/>
          <w:i w:val="0"/>
          <w:iCs/>
        </w:rPr>
      </w:pPr>
      <w:r w:rsidRPr="00287574">
        <w:rPr>
          <w:rFonts w:ascii="Arial" w:hAnsi="Arial"/>
          <w:b/>
          <w:bCs/>
          <w:i w:val="0"/>
          <w:iCs/>
        </w:rPr>
        <w:t>Tableau</w:t>
      </w:r>
      <w:r w:rsidRPr="00287574">
        <w:t xml:space="preserve"> </w:t>
      </w:r>
      <w:r w:rsidRPr="00287574">
        <w:rPr>
          <w:rFonts w:ascii="Arial" w:hAnsi="Arial" w:cs="Arial"/>
          <w:b/>
          <w:bCs/>
          <w:i w:val="0"/>
          <w:iCs/>
        </w:rPr>
        <w:fldChar w:fldCharType="begin"/>
      </w:r>
      <w:r w:rsidRPr="00287574">
        <w:rPr>
          <w:rFonts w:ascii="Arial" w:hAnsi="Arial" w:cs="Arial"/>
          <w:b/>
          <w:bCs/>
          <w:i w:val="0"/>
          <w:iCs/>
        </w:rPr>
        <w:instrText xml:space="preserve"> SEQ Tabelle \* ARABIC </w:instrText>
      </w:r>
      <w:r w:rsidRPr="00287574">
        <w:rPr>
          <w:rFonts w:ascii="Arial" w:hAnsi="Arial" w:cs="Arial"/>
          <w:b/>
          <w:bCs/>
          <w:i w:val="0"/>
          <w:iCs/>
        </w:rPr>
        <w:fldChar w:fldCharType="separate"/>
      </w:r>
      <w:r w:rsidR="00287574" w:rsidRPr="00287574">
        <w:rPr>
          <w:rFonts w:ascii="Arial" w:hAnsi="Arial" w:cs="Arial"/>
          <w:b/>
          <w:bCs/>
          <w:i w:val="0"/>
          <w:iCs/>
        </w:rPr>
        <w:t>1</w:t>
      </w:r>
      <w:r w:rsidRPr="00287574">
        <w:rPr>
          <w:rFonts w:ascii="Arial" w:hAnsi="Arial" w:cs="Arial"/>
          <w:b/>
          <w:bCs/>
          <w:i w:val="0"/>
          <w:iCs/>
        </w:rPr>
        <w:fldChar w:fldCharType="end"/>
      </w:r>
      <w:r w:rsidRPr="00287574">
        <w:t> </w:t>
      </w:r>
      <w:r w:rsidRPr="00287574">
        <w:rPr>
          <w:rFonts w:ascii="Arial" w:hAnsi="Arial"/>
          <w:b/>
          <w:bCs/>
          <w:i w:val="0"/>
          <w:iCs/>
        </w:rPr>
        <w:t>: Types de circuits de recharge et données nominales correspondantes</w:t>
      </w:r>
    </w:p>
    <w:tbl>
      <w:tblPr>
        <w:tblStyle w:val="Grilledutableau"/>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276"/>
        <w:gridCol w:w="1276"/>
        <w:gridCol w:w="1275"/>
        <w:gridCol w:w="1560"/>
        <w:gridCol w:w="2551"/>
      </w:tblGrid>
      <w:tr w:rsidR="00CF7C5D" w:rsidRPr="00287574" w14:paraId="59E41165" w14:textId="77777777" w:rsidTr="00241F4F">
        <w:trPr>
          <w:trHeight w:val="283"/>
        </w:trPr>
        <w:tc>
          <w:tcPr>
            <w:tcW w:w="1843" w:type="dxa"/>
            <w:tcBorders>
              <w:top w:val="single" w:sz="12" w:space="0" w:color="auto"/>
              <w:bottom w:val="single" w:sz="6" w:space="0" w:color="auto"/>
            </w:tcBorders>
            <w:vAlign w:val="bottom"/>
          </w:tcPr>
          <w:p w14:paraId="1FDBF916" w14:textId="0850AFC2" w:rsidR="00CF7C5D" w:rsidRPr="00287574" w:rsidRDefault="00CF7C5D" w:rsidP="004C7296">
            <w:pPr>
              <w:spacing w:before="60" w:after="60"/>
              <w:jc w:val="center"/>
              <w:rPr>
                <w:rFonts w:cs="Arial"/>
                <w:bCs/>
                <w:color w:val="auto"/>
                <w:sz w:val="20"/>
              </w:rPr>
            </w:pPr>
            <w:r w:rsidRPr="00287574">
              <w:rPr>
                <w:bCs/>
                <w:color w:val="auto"/>
                <w:sz w:val="20"/>
              </w:rPr>
              <w:t>Type de dispositif de recharge</w:t>
            </w:r>
          </w:p>
        </w:tc>
        <w:tc>
          <w:tcPr>
            <w:tcW w:w="1276" w:type="dxa"/>
            <w:tcBorders>
              <w:top w:val="single" w:sz="12" w:space="0" w:color="auto"/>
              <w:bottom w:val="single" w:sz="6" w:space="0" w:color="auto"/>
            </w:tcBorders>
            <w:vAlign w:val="bottom"/>
          </w:tcPr>
          <w:p w14:paraId="54EF8148" w14:textId="7AE1FF51" w:rsidR="00CF7C5D" w:rsidRPr="00287574" w:rsidRDefault="00CF7C5D" w:rsidP="004C7296">
            <w:pPr>
              <w:spacing w:before="60" w:after="60"/>
              <w:jc w:val="center"/>
              <w:rPr>
                <w:rFonts w:cs="Arial"/>
                <w:bCs/>
                <w:color w:val="auto"/>
                <w:sz w:val="20"/>
              </w:rPr>
            </w:pPr>
            <w:r w:rsidRPr="00287574">
              <w:rPr>
                <w:bCs/>
                <w:color w:val="auto"/>
                <w:sz w:val="20"/>
              </w:rPr>
              <w:t>Type de circuit de charge</w:t>
            </w:r>
          </w:p>
        </w:tc>
        <w:tc>
          <w:tcPr>
            <w:tcW w:w="1276" w:type="dxa"/>
            <w:tcBorders>
              <w:top w:val="single" w:sz="12" w:space="0" w:color="auto"/>
              <w:bottom w:val="single" w:sz="6" w:space="0" w:color="auto"/>
            </w:tcBorders>
            <w:vAlign w:val="bottom"/>
          </w:tcPr>
          <w:p w14:paraId="033F7B28" w14:textId="1B7C34F7" w:rsidR="00CF7C5D" w:rsidRPr="00287574" w:rsidRDefault="00CF7C5D" w:rsidP="004C7296">
            <w:pPr>
              <w:spacing w:before="60" w:after="60"/>
              <w:jc w:val="center"/>
              <w:rPr>
                <w:rFonts w:cs="Arial"/>
                <w:bCs/>
                <w:color w:val="auto"/>
                <w:sz w:val="20"/>
              </w:rPr>
            </w:pPr>
            <w:r w:rsidRPr="00287574">
              <w:rPr>
                <w:bCs/>
                <w:color w:val="auto"/>
                <w:sz w:val="20"/>
              </w:rPr>
              <w:t>Mode de recharge</w:t>
            </w:r>
          </w:p>
        </w:tc>
        <w:tc>
          <w:tcPr>
            <w:tcW w:w="1275" w:type="dxa"/>
            <w:tcBorders>
              <w:top w:val="single" w:sz="12" w:space="0" w:color="auto"/>
              <w:bottom w:val="single" w:sz="6" w:space="0" w:color="auto"/>
            </w:tcBorders>
            <w:vAlign w:val="bottom"/>
          </w:tcPr>
          <w:p w14:paraId="35645266" w14:textId="58F41A1C" w:rsidR="00CF7C5D" w:rsidRPr="00287574" w:rsidRDefault="0076026A" w:rsidP="004C7296">
            <w:pPr>
              <w:spacing w:before="60" w:after="60"/>
              <w:jc w:val="center"/>
              <w:rPr>
                <w:rFonts w:cs="Arial"/>
                <w:bCs/>
                <w:color w:val="auto"/>
                <w:sz w:val="20"/>
              </w:rPr>
            </w:pPr>
            <w:r w:rsidRPr="00287574">
              <w:rPr>
                <w:bCs/>
                <w:color w:val="auto"/>
                <w:sz w:val="20"/>
              </w:rPr>
              <w:t>Courant de recharge maximal</w:t>
            </w:r>
          </w:p>
        </w:tc>
        <w:tc>
          <w:tcPr>
            <w:tcW w:w="1560" w:type="dxa"/>
            <w:tcBorders>
              <w:top w:val="single" w:sz="12" w:space="0" w:color="auto"/>
              <w:bottom w:val="single" w:sz="6" w:space="0" w:color="auto"/>
            </w:tcBorders>
            <w:vAlign w:val="bottom"/>
          </w:tcPr>
          <w:p w14:paraId="64B9D49E" w14:textId="279A873B" w:rsidR="00CF7C5D" w:rsidRPr="00287574" w:rsidRDefault="0076026A" w:rsidP="004C7296">
            <w:pPr>
              <w:spacing w:before="60" w:after="60"/>
              <w:jc w:val="center"/>
              <w:rPr>
                <w:rFonts w:cs="Arial"/>
                <w:bCs/>
                <w:color w:val="auto"/>
                <w:sz w:val="20"/>
              </w:rPr>
            </w:pPr>
            <w:r w:rsidRPr="00287574">
              <w:rPr>
                <w:bCs/>
                <w:color w:val="auto"/>
                <w:sz w:val="20"/>
              </w:rPr>
              <w:t>Puissance de recharge maximale</w:t>
            </w:r>
          </w:p>
        </w:tc>
        <w:tc>
          <w:tcPr>
            <w:tcW w:w="2551" w:type="dxa"/>
            <w:tcBorders>
              <w:top w:val="single" w:sz="12" w:space="0" w:color="auto"/>
              <w:bottom w:val="single" w:sz="6" w:space="0" w:color="auto"/>
            </w:tcBorders>
            <w:vAlign w:val="bottom"/>
          </w:tcPr>
          <w:p w14:paraId="481E9FC5" w14:textId="77777777" w:rsidR="00CF7C5D" w:rsidRPr="00287574" w:rsidRDefault="00CF7C5D" w:rsidP="004C7296">
            <w:pPr>
              <w:spacing w:before="60" w:after="60"/>
              <w:jc w:val="center"/>
              <w:rPr>
                <w:rFonts w:cs="Arial"/>
                <w:bCs/>
                <w:color w:val="auto"/>
                <w:sz w:val="20"/>
              </w:rPr>
            </w:pPr>
            <w:r w:rsidRPr="00287574">
              <w:rPr>
                <w:bCs/>
                <w:color w:val="auto"/>
                <w:sz w:val="20"/>
              </w:rPr>
              <w:t>Applications</w:t>
            </w:r>
          </w:p>
        </w:tc>
      </w:tr>
      <w:tr w:rsidR="00CF7C5D" w:rsidRPr="00287574" w14:paraId="675463CC" w14:textId="77777777" w:rsidTr="00241F4F">
        <w:trPr>
          <w:trHeight w:val="907"/>
        </w:trPr>
        <w:tc>
          <w:tcPr>
            <w:tcW w:w="1843" w:type="dxa"/>
            <w:tcBorders>
              <w:top w:val="single" w:sz="6" w:space="0" w:color="auto"/>
              <w:bottom w:val="single" w:sz="6" w:space="0" w:color="auto"/>
            </w:tcBorders>
            <w:vAlign w:val="center"/>
          </w:tcPr>
          <w:p w14:paraId="1D7C3ED0" w14:textId="3EACDEE4" w:rsidR="00CF7C5D" w:rsidRPr="00287574" w:rsidRDefault="00CF7C5D" w:rsidP="00011885">
            <w:pPr>
              <w:spacing w:before="60" w:after="60"/>
              <w:jc w:val="center"/>
              <w:rPr>
                <w:rFonts w:cs="Arial"/>
                <w:color w:val="auto"/>
                <w:sz w:val="18"/>
              </w:rPr>
            </w:pPr>
            <w:r w:rsidRPr="00E85F7B">
              <w:rPr>
                <w:color w:val="auto"/>
                <w:sz w:val="18"/>
              </w:rPr>
              <w:t xml:space="preserve">Prise </w:t>
            </w:r>
            <w:proofErr w:type="spellStart"/>
            <w:r w:rsidR="009C5F66" w:rsidRPr="00E85F7B">
              <w:rPr>
                <w:color w:val="auto"/>
                <w:sz w:val="18"/>
              </w:rPr>
              <w:t>Schuko</w:t>
            </w:r>
            <w:proofErr w:type="spellEnd"/>
            <w:r w:rsidR="009C5F66" w:rsidRPr="00E85F7B">
              <w:rPr>
                <w:color w:val="auto"/>
                <w:sz w:val="18"/>
              </w:rPr>
              <w:t xml:space="preserve"> </w:t>
            </w:r>
            <w:r w:rsidRPr="00287574">
              <w:rPr>
                <w:color w:val="auto"/>
                <w:sz w:val="18"/>
              </w:rPr>
              <w:t>avec terre 230 V / 16 A.</w:t>
            </w:r>
          </w:p>
        </w:tc>
        <w:tc>
          <w:tcPr>
            <w:tcW w:w="1276" w:type="dxa"/>
            <w:tcBorders>
              <w:top w:val="single" w:sz="6" w:space="0" w:color="auto"/>
              <w:bottom w:val="single" w:sz="6" w:space="0" w:color="auto"/>
            </w:tcBorders>
            <w:vAlign w:val="center"/>
          </w:tcPr>
          <w:p w14:paraId="4282735A" w14:textId="77777777" w:rsidR="00CF7C5D" w:rsidRPr="00287574" w:rsidRDefault="00CF7C5D" w:rsidP="004C7296">
            <w:pPr>
              <w:spacing w:before="60" w:after="60"/>
              <w:jc w:val="center"/>
              <w:rPr>
                <w:rFonts w:cs="Arial"/>
                <w:color w:val="auto"/>
                <w:sz w:val="18"/>
              </w:rPr>
            </w:pPr>
            <w:r w:rsidRPr="00287574">
              <w:rPr>
                <w:color w:val="auto"/>
                <w:sz w:val="18"/>
              </w:rPr>
              <w:t>Monophasé, 230 V</w:t>
            </w:r>
          </w:p>
        </w:tc>
        <w:tc>
          <w:tcPr>
            <w:tcW w:w="1276" w:type="dxa"/>
            <w:tcBorders>
              <w:top w:val="single" w:sz="6" w:space="0" w:color="auto"/>
              <w:bottom w:val="single" w:sz="6" w:space="0" w:color="auto"/>
            </w:tcBorders>
            <w:vAlign w:val="center"/>
          </w:tcPr>
          <w:p w14:paraId="2190099B" w14:textId="77777777" w:rsidR="00CF7C5D" w:rsidRPr="00287574" w:rsidRDefault="00CF7C5D" w:rsidP="004C7296">
            <w:pPr>
              <w:spacing w:before="60" w:after="60"/>
              <w:jc w:val="center"/>
              <w:rPr>
                <w:rFonts w:cs="Arial"/>
                <w:color w:val="auto"/>
                <w:sz w:val="18"/>
              </w:rPr>
            </w:pPr>
            <w:r w:rsidRPr="00287574">
              <w:rPr>
                <w:color w:val="auto"/>
                <w:sz w:val="18"/>
              </w:rPr>
              <w:t>1 ou 2</w:t>
            </w:r>
          </w:p>
        </w:tc>
        <w:tc>
          <w:tcPr>
            <w:tcW w:w="1275" w:type="dxa"/>
            <w:tcBorders>
              <w:top w:val="single" w:sz="6" w:space="0" w:color="auto"/>
              <w:bottom w:val="single" w:sz="6" w:space="0" w:color="auto"/>
            </w:tcBorders>
            <w:vAlign w:val="center"/>
          </w:tcPr>
          <w:p w14:paraId="2DCD44D8" w14:textId="6E429ADA" w:rsidR="00CF7C5D" w:rsidRPr="00287574" w:rsidRDefault="00245464" w:rsidP="004C7296">
            <w:pPr>
              <w:spacing w:before="60" w:after="60"/>
              <w:jc w:val="center"/>
              <w:rPr>
                <w:rFonts w:cs="Arial"/>
                <w:color w:val="auto"/>
                <w:sz w:val="18"/>
              </w:rPr>
            </w:pPr>
            <w:r w:rsidRPr="00287574">
              <w:rPr>
                <w:color w:val="auto"/>
                <w:sz w:val="18"/>
              </w:rPr>
              <w:t>8 A</w:t>
            </w:r>
            <w:r w:rsidR="00C02F42" w:rsidRPr="00287574">
              <w:rPr>
                <w:rStyle w:val="Appelnotedebasdep"/>
                <w:rFonts w:cs="Arial"/>
                <w:color w:val="auto"/>
                <w:sz w:val="18"/>
              </w:rPr>
              <w:footnoteReference w:id="1"/>
            </w:r>
          </w:p>
        </w:tc>
        <w:tc>
          <w:tcPr>
            <w:tcW w:w="1560" w:type="dxa"/>
            <w:tcBorders>
              <w:top w:val="single" w:sz="6" w:space="0" w:color="auto"/>
              <w:bottom w:val="single" w:sz="6" w:space="0" w:color="auto"/>
            </w:tcBorders>
            <w:vAlign w:val="center"/>
          </w:tcPr>
          <w:p w14:paraId="36D6DB86" w14:textId="6949F556" w:rsidR="00CF7C5D" w:rsidRPr="00287574" w:rsidRDefault="00CF7C5D" w:rsidP="004C7296">
            <w:pPr>
              <w:spacing w:before="60" w:after="60"/>
              <w:jc w:val="center"/>
              <w:rPr>
                <w:rFonts w:cs="Arial"/>
                <w:color w:val="auto"/>
                <w:sz w:val="18"/>
              </w:rPr>
            </w:pPr>
            <w:proofErr w:type="gramStart"/>
            <w:r w:rsidRPr="00287574">
              <w:rPr>
                <w:color w:val="auto"/>
                <w:sz w:val="18"/>
              </w:rPr>
              <w:t>jusqu'à</w:t>
            </w:r>
            <w:proofErr w:type="gramEnd"/>
            <w:r w:rsidRPr="00287574">
              <w:rPr>
                <w:color w:val="auto"/>
                <w:sz w:val="18"/>
              </w:rPr>
              <w:t xml:space="preserve"> 1,8 kW</w:t>
            </w:r>
          </w:p>
        </w:tc>
        <w:tc>
          <w:tcPr>
            <w:tcW w:w="2551" w:type="dxa"/>
            <w:tcBorders>
              <w:top w:val="single" w:sz="6" w:space="0" w:color="auto"/>
              <w:bottom w:val="single" w:sz="6" w:space="0" w:color="auto"/>
            </w:tcBorders>
            <w:vAlign w:val="center"/>
          </w:tcPr>
          <w:p w14:paraId="6D5EC264" w14:textId="64C79299" w:rsidR="00CF7C5D" w:rsidRPr="00287574" w:rsidRDefault="00CF7C5D">
            <w:pPr>
              <w:spacing w:before="60" w:after="60"/>
              <w:jc w:val="center"/>
              <w:rPr>
                <w:rFonts w:cs="Arial"/>
                <w:color w:val="auto"/>
                <w:sz w:val="18"/>
              </w:rPr>
            </w:pPr>
            <w:proofErr w:type="spellStart"/>
            <w:r w:rsidRPr="00287574">
              <w:rPr>
                <w:color w:val="auto"/>
                <w:sz w:val="18"/>
              </w:rPr>
              <w:t>Pedelecs</w:t>
            </w:r>
            <w:proofErr w:type="spellEnd"/>
            <w:r w:rsidRPr="00287574">
              <w:rPr>
                <w:color w:val="auto"/>
                <w:sz w:val="18"/>
              </w:rPr>
              <w:t>, cycles électriques, quads électriques</w:t>
            </w:r>
          </w:p>
        </w:tc>
      </w:tr>
      <w:tr w:rsidR="00CF7C5D" w:rsidRPr="00287574" w14:paraId="1E37BFF1" w14:textId="77777777" w:rsidTr="00241F4F">
        <w:tc>
          <w:tcPr>
            <w:tcW w:w="1843" w:type="dxa"/>
            <w:tcBorders>
              <w:top w:val="single" w:sz="6" w:space="0" w:color="auto"/>
              <w:bottom w:val="single" w:sz="6" w:space="0" w:color="auto"/>
            </w:tcBorders>
            <w:vAlign w:val="center"/>
          </w:tcPr>
          <w:p w14:paraId="2B85717C" w14:textId="03A5504C" w:rsidR="00CF7C5D" w:rsidRPr="00287574" w:rsidRDefault="00CF7C5D" w:rsidP="00011885">
            <w:pPr>
              <w:spacing w:before="60" w:after="60"/>
              <w:jc w:val="center"/>
              <w:rPr>
                <w:rFonts w:cs="Arial"/>
                <w:color w:val="auto"/>
                <w:sz w:val="18"/>
              </w:rPr>
            </w:pPr>
            <w:r w:rsidRPr="00287574">
              <w:rPr>
                <w:color w:val="auto"/>
                <w:sz w:val="18"/>
              </w:rPr>
              <w:t>Prise CEE 230 V / 16 A</w:t>
            </w:r>
          </w:p>
        </w:tc>
        <w:tc>
          <w:tcPr>
            <w:tcW w:w="1276" w:type="dxa"/>
            <w:tcBorders>
              <w:top w:val="single" w:sz="6" w:space="0" w:color="auto"/>
              <w:bottom w:val="single" w:sz="6" w:space="0" w:color="auto"/>
            </w:tcBorders>
            <w:vAlign w:val="center"/>
          </w:tcPr>
          <w:p w14:paraId="395F7CDC" w14:textId="77777777" w:rsidR="00CF7C5D" w:rsidRPr="00287574" w:rsidRDefault="00CF7C5D" w:rsidP="004C7296">
            <w:pPr>
              <w:spacing w:before="60" w:after="60"/>
              <w:jc w:val="center"/>
              <w:rPr>
                <w:rFonts w:cs="Arial"/>
                <w:color w:val="auto"/>
                <w:sz w:val="18"/>
              </w:rPr>
            </w:pPr>
            <w:r w:rsidRPr="00287574">
              <w:rPr>
                <w:color w:val="auto"/>
                <w:sz w:val="18"/>
              </w:rPr>
              <w:t>Monophasé, 230 V</w:t>
            </w:r>
          </w:p>
        </w:tc>
        <w:tc>
          <w:tcPr>
            <w:tcW w:w="1276" w:type="dxa"/>
            <w:tcBorders>
              <w:top w:val="single" w:sz="6" w:space="0" w:color="auto"/>
              <w:bottom w:val="single" w:sz="6" w:space="0" w:color="auto"/>
            </w:tcBorders>
            <w:vAlign w:val="center"/>
          </w:tcPr>
          <w:p w14:paraId="1F45E375" w14:textId="77777777" w:rsidR="00CF7C5D" w:rsidRPr="00287574" w:rsidRDefault="00CF7C5D" w:rsidP="004C7296">
            <w:pPr>
              <w:spacing w:before="60" w:after="60"/>
              <w:jc w:val="center"/>
              <w:rPr>
                <w:rFonts w:cs="Arial"/>
                <w:color w:val="auto"/>
                <w:sz w:val="18"/>
              </w:rPr>
            </w:pPr>
            <w:r w:rsidRPr="00287574">
              <w:rPr>
                <w:color w:val="auto"/>
                <w:sz w:val="18"/>
              </w:rPr>
              <w:t>2</w:t>
            </w:r>
          </w:p>
        </w:tc>
        <w:tc>
          <w:tcPr>
            <w:tcW w:w="1275" w:type="dxa"/>
            <w:tcBorders>
              <w:top w:val="single" w:sz="6" w:space="0" w:color="auto"/>
              <w:bottom w:val="single" w:sz="6" w:space="0" w:color="auto"/>
            </w:tcBorders>
            <w:vAlign w:val="center"/>
          </w:tcPr>
          <w:p w14:paraId="5733C9AF" w14:textId="77777777" w:rsidR="00CF7C5D" w:rsidRPr="00287574" w:rsidRDefault="00CF7C5D" w:rsidP="004C7296">
            <w:pPr>
              <w:spacing w:before="60" w:after="60"/>
              <w:jc w:val="center"/>
              <w:rPr>
                <w:rFonts w:cs="Arial"/>
                <w:color w:val="auto"/>
                <w:sz w:val="18"/>
              </w:rPr>
            </w:pPr>
            <w:r w:rsidRPr="00287574">
              <w:rPr>
                <w:color w:val="auto"/>
                <w:sz w:val="18"/>
              </w:rPr>
              <w:t>16 A</w:t>
            </w:r>
          </w:p>
        </w:tc>
        <w:tc>
          <w:tcPr>
            <w:tcW w:w="1560" w:type="dxa"/>
            <w:tcBorders>
              <w:top w:val="single" w:sz="6" w:space="0" w:color="auto"/>
              <w:bottom w:val="single" w:sz="6" w:space="0" w:color="auto"/>
            </w:tcBorders>
            <w:vAlign w:val="center"/>
          </w:tcPr>
          <w:p w14:paraId="78CD11AB" w14:textId="77777777" w:rsidR="00CF7C5D" w:rsidRPr="00287574" w:rsidRDefault="00CF7C5D" w:rsidP="004C7296">
            <w:pPr>
              <w:spacing w:before="60" w:after="60"/>
              <w:jc w:val="center"/>
              <w:rPr>
                <w:rFonts w:cs="Arial"/>
                <w:color w:val="auto"/>
                <w:sz w:val="18"/>
              </w:rPr>
            </w:pPr>
            <w:proofErr w:type="gramStart"/>
            <w:r w:rsidRPr="00287574">
              <w:rPr>
                <w:color w:val="auto"/>
                <w:sz w:val="18"/>
              </w:rPr>
              <w:t>jusqu'à</w:t>
            </w:r>
            <w:proofErr w:type="gramEnd"/>
            <w:r w:rsidRPr="00287574">
              <w:rPr>
                <w:color w:val="auto"/>
                <w:sz w:val="18"/>
              </w:rPr>
              <w:t xml:space="preserve"> 3,7 kW</w:t>
            </w:r>
          </w:p>
        </w:tc>
        <w:tc>
          <w:tcPr>
            <w:tcW w:w="2551" w:type="dxa"/>
            <w:tcBorders>
              <w:top w:val="single" w:sz="6" w:space="0" w:color="auto"/>
              <w:bottom w:val="single" w:sz="6" w:space="0" w:color="auto"/>
            </w:tcBorders>
            <w:vAlign w:val="center"/>
          </w:tcPr>
          <w:p w14:paraId="6E2BB7D1" w14:textId="77777777" w:rsidR="00CF7C5D" w:rsidRPr="00287574" w:rsidRDefault="00CF7C5D" w:rsidP="004C7296">
            <w:pPr>
              <w:spacing w:before="60" w:after="60"/>
              <w:jc w:val="center"/>
              <w:rPr>
                <w:rFonts w:cs="Arial"/>
                <w:color w:val="auto"/>
                <w:sz w:val="18"/>
              </w:rPr>
            </w:pPr>
            <w:r w:rsidRPr="00287574">
              <w:rPr>
                <w:color w:val="auto"/>
                <w:sz w:val="18"/>
              </w:rPr>
              <w:t>Voitures hybrides rechargeables</w:t>
            </w:r>
          </w:p>
        </w:tc>
      </w:tr>
      <w:tr w:rsidR="00CF7C5D" w:rsidRPr="00287574" w14:paraId="469F1944" w14:textId="77777777" w:rsidTr="00241F4F">
        <w:tc>
          <w:tcPr>
            <w:tcW w:w="1843" w:type="dxa"/>
            <w:tcBorders>
              <w:top w:val="single" w:sz="6" w:space="0" w:color="auto"/>
              <w:bottom w:val="single" w:sz="6" w:space="0" w:color="auto"/>
            </w:tcBorders>
            <w:vAlign w:val="center"/>
          </w:tcPr>
          <w:p w14:paraId="5BCB537F" w14:textId="21524EEE" w:rsidR="00CF7C5D" w:rsidRPr="00287574" w:rsidRDefault="00CF7C5D" w:rsidP="00011885">
            <w:pPr>
              <w:spacing w:before="60" w:after="60"/>
              <w:jc w:val="center"/>
              <w:rPr>
                <w:rFonts w:cs="Arial"/>
                <w:color w:val="auto"/>
                <w:sz w:val="18"/>
              </w:rPr>
            </w:pPr>
            <w:r w:rsidRPr="00287574">
              <w:rPr>
                <w:color w:val="auto"/>
                <w:sz w:val="18"/>
              </w:rPr>
              <w:t>Prise CEE 400 V / 32 A</w:t>
            </w:r>
          </w:p>
        </w:tc>
        <w:tc>
          <w:tcPr>
            <w:tcW w:w="1276" w:type="dxa"/>
            <w:tcBorders>
              <w:top w:val="single" w:sz="6" w:space="0" w:color="auto"/>
              <w:bottom w:val="single" w:sz="6" w:space="0" w:color="auto"/>
            </w:tcBorders>
            <w:vAlign w:val="center"/>
          </w:tcPr>
          <w:p w14:paraId="224F0BE6" w14:textId="77777777" w:rsidR="00CF7C5D" w:rsidRPr="00287574" w:rsidRDefault="00CF7C5D" w:rsidP="004C7296">
            <w:pPr>
              <w:spacing w:before="60" w:after="60"/>
              <w:jc w:val="center"/>
              <w:rPr>
                <w:rFonts w:cs="Arial"/>
                <w:b/>
                <w:color w:val="auto"/>
                <w:sz w:val="18"/>
              </w:rPr>
            </w:pPr>
            <w:r w:rsidRPr="00287574">
              <w:rPr>
                <w:color w:val="auto"/>
                <w:sz w:val="18"/>
              </w:rPr>
              <w:t>Triphasé, 400 V</w:t>
            </w:r>
          </w:p>
        </w:tc>
        <w:tc>
          <w:tcPr>
            <w:tcW w:w="1276" w:type="dxa"/>
            <w:tcBorders>
              <w:top w:val="single" w:sz="6" w:space="0" w:color="auto"/>
              <w:bottom w:val="single" w:sz="6" w:space="0" w:color="auto"/>
            </w:tcBorders>
            <w:vAlign w:val="center"/>
          </w:tcPr>
          <w:p w14:paraId="4D884B73" w14:textId="77777777" w:rsidR="00CF7C5D" w:rsidRPr="00287574" w:rsidRDefault="00CF7C5D" w:rsidP="004C7296">
            <w:pPr>
              <w:spacing w:before="60" w:after="60"/>
              <w:jc w:val="center"/>
              <w:rPr>
                <w:rFonts w:cs="Arial"/>
                <w:color w:val="auto"/>
                <w:sz w:val="18"/>
              </w:rPr>
            </w:pPr>
            <w:r w:rsidRPr="00287574">
              <w:rPr>
                <w:color w:val="auto"/>
                <w:sz w:val="18"/>
              </w:rPr>
              <w:t>2</w:t>
            </w:r>
          </w:p>
        </w:tc>
        <w:tc>
          <w:tcPr>
            <w:tcW w:w="1275" w:type="dxa"/>
            <w:tcBorders>
              <w:top w:val="single" w:sz="6" w:space="0" w:color="auto"/>
              <w:bottom w:val="single" w:sz="6" w:space="0" w:color="auto"/>
            </w:tcBorders>
            <w:vAlign w:val="center"/>
          </w:tcPr>
          <w:p w14:paraId="00C34CE7" w14:textId="77777777" w:rsidR="00CF7C5D" w:rsidRPr="00287574" w:rsidRDefault="00CF7C5D" w:rsidP="004C7296">
            <w:pPr>
              <w:spacing w:before="60" w:after="60"/>
              <w:jc w:val="center"/>
              <w:rPr>
                <w:rFonts w:cs="Arial"/>
                <w:color w:val="auto"/>
                <w:sz w:val="18"/>
              </w:rPr>
            </w:pPr>
            <w:r w:rsidRPr="00287574">
              <w:rPr>
                <w:color w:val="auto"/>
                <w:sz w:val="18"/>
              </w:rPr>
              <w:t>32 A</w:t>
            </w:r>
          </w:p>
        </w:tc>
        <w:tc>
          <w:tcPr>
            <w:tcW w:w="1560" w:type="dxa"/>
            <w:tcBorders>
              <w:top w:val="single" w:sz="6" w:space="0" w:color="auto"/>
              <w:bottom w:val="single" w:sz="6" w:space="0" w:color="auto"/>
            </w:tcBorders>
            <w:vAlign w:val="center"/>
          </w:tcPr>
          <w:p w14:paraId="5F69F064" w14:textId="77777777" w:rsidR="00CF7C5D" w:rsidRPr="00287574" w:rsidRDefault="00CF7C5D" w:rsidP="004C7296">
            <w:pPr>
              <w:spacing w:before="60" w:after="60"/>
              <w:jc w:val="center"/>
              <w:rPr>
                <w:rFonts w:cs="Arial"/>
                <w:color w:val="auto"/>
                <w:sz w:val="18"/>
              </w:rPr>
            </w:pPr>
            <w:proofErr w:type="gramStart"/>
            <w:r w:rsidRPr="00287574">
              <w:rPr>
                <w:color w:val="auto"/>
                <w:sz w:val="18"/>
              </w:rPr>
              <w:t>jusqu'à</w:t>
            </w:r>
            <w:proofErr w:type="gramEnd"/>
            <w:r w:rsidRPr="00287574">
              <w:rPr>
                <w:color w:val="auto"/>
                <w:sz w:val="18"/>
              </w:rPr>
              <w:t xml:space="preserve"> 22 kW</w:t>
            </w:r>
          </w:p>
        </w:tc>
        <w:tc>
          <w:tcPr>
            <w:tcW w:w="2551" w:type="dxa"/>
            <w:vMerge w:val="restart"/>
            <w:tcBorders>
              <w:top w:val="single" w:sz="6" w:space="0" w:color="auto"/>
              <w:bottom w:val="single" w:sz="6" w:space="0" w:color="auto"/>
            </w:tcBorders>
            <w:vAlign w:val="center"/>
          </w:tcPr>
          <w:p w14:paraId="7E380830" w14:textId="77777777" w:rsidR="00CF7C5D" w:rsidRPr="00287574" w:rsidRDefault="00CF7C5D" w:rsidP="004C7296">
            <w:pPr>
              <w:spacing w:before="60" w:after="60"/>
              <w:jc w:val="center"/>
              <w:rPr>
                <w:rFonts w:cs="Arial"/>
                <w:color w:val="auto"/>
                <w:sz w:val="18"/>
              </w:rPr>
            </w:pPr>
            <w:r w:rsidRPr="00287574">
              <w:rPr>
                <w:color w:val="auto"/>
                <w:sz w:val="18"/>
              </w:rPr>
              <w:t>Voitures à propulsion électrique, voitures hybrides rechargeables</w:t>
            </w:r>
          </w:p>
        </w:tc>
      </w:tr>
      <w:tr w:rsidR="00CF7C5D" w:rsidRPr="00287574" w14:paraId="560E53C1" w14:textId="77777777" w:rsidTr="00241F4F">
        <w:tc>
          <w:tcPr>
            <w:tcW w:w="1843" w:type="dxa"/>
            <w:tcBorders>
              <w:top w:val="single" w:sz="6" w:space="0" w:color="auto"/>
              <w:bottom w:val="single" w:sz="6" w:space="0" w:color="auto"/>
            </w:tcBorders>
            <w:vAlign w:val="center"/>
          </w:tcPr>
          <w:p w14:paraId="60991B0B" w14:textId="0ED3198A" w:rsidR="00CF7C5D" w:rsidRPr="00287574" w:rsidRDefault="00717634" w:rsidP="004C7296">
            <w:pPr>
              <w:spacing w:before="60" w:after="60"/>
              <w:jc w:val="center"/>
              <w:rPr>
                <w:rFonts w:cs="Arial"/>
                <w:color w:val="auto"/>
                <w:sz w:val="18"/>
              </w:rPr>
            </w:pPr>
            <w:r w:rsidRPr="00287574">
              <w:rPr>
                <w:color w:val="auto"/>
                <w:sz w:val="18"/>
              </w:rPr>
              <w:t>Boîtier mural à raccordement fixe</w:t>
            </w:r>
          </w:p>
        </w:tc>
        <w:tc>
          <w:tcPr>
            <w:tcW w:w="1276" w:type="dxa"/>
            <w:tcBorders>
              <w:top w:val="single" w:sz="6" w:space="0" w:color="auto"/>
              <w:bottom w:val="single" w:sz="6" w:space="0" w:color="auto"/>
            </w:tcBorders>
            <w:vAlign w:val="center"/>
          </w:tcPr>
          <w:p w14:paraId="6CAF70ED" w14:textId="77777777" w:rsidR="00CF7C5D" w:rsidRPr="00287574" w:rsidRDefault="00CF7C5D" w:rsidP="004C7296">
            <w:pPr>
              <w:spacing w:before="60" w:after="60"/>
              <w:jc w:val="center"/>
              <w:rPr>
                <w:rFonts w:cs="Arial"/>
                <w:color w:val="auto"/>
                <w:sz w:val="18"/>
              </w:rPr>
            </w:pPr>
            <w:r w:rsidRPr="00287574">
              <w:rPr>
                <w:color w:val="auto"/>
                <w:sz w:val="18"/>
              </w:rPr>
              <w:t>Monophasé, 230 V</w:t>
            </w:r>
          </w:p>
        </w:tc>
        <w:tc>
          <w:tcPr>
            <w:tcW w:w="1276" w:type="dxa"/>
            <w:tcBorders>
              <w:top w:val="single" w:sz="6" w:space="0" w:color="auto"/>
              <w:bottom w:val="single" w:sz="6" w:space="0" w:color="auto"/>
            </w:tcBorders>
            <w:vAlign w:val="center"/>
          </w:tcPr>
          <w:p w14:paraId="218C1E93" w14:textId="77777777" w:rsidR="00CF7C5D" w:rsidRPr="00287574" w:rsidRDefault="00CF7C5D" w:rsidP="004C7296">
            <w:pPr>
              <w:spacing w:before="60" w:after="60"/>
              <w:jc w:val="center"/>
              <w:rPr>
                <w:rFonts w:cs="Arial"/>
                <w:color w:val="auto"/>
                <w:sz w:val="18"/>
              </w:rPr>
            </w:pPr>
            <w:r w:rsidRPr="00287574">
              <w:rPr>
                <w:color w:val="auto"/>
                <w:sz w:val="18"/>
              </w:rPr>
              <w:t>3</w:t>
            </w:r>
          </w:p>
        </w:tc>
        <w:tc>
          <w:tcPr>
            <w:tcW w:w="1275" w:type="dxa"/>
            <w:tcBorders>
              <w:top w:val="single" w:sz="6" w:space="0" w:color="auto"/>
              <w:bottom w:val="single" w:sz="6" w:space="0" w:color="auto"/>
            </w:tcBorders>
            <w:vAlign w:val="center"/>
          </w:tcPr>
          <w:p w14:paraId="177DA53A" w14:textId="77777777" w:rsidR="00CF7C5D" w:rsidRPr="00287574" w:rsidRDefault="00CF7C5D" w:rsidP="004C7296">
            <w:pPr>
              <w:spacing w:before="60" w:after="60"/>
              <w:jc w:val="center"/>
              <w:rPr>
                <w:rFonts w:cs="Arial"/>
                <w:color w:val="auto"/>
                <w:sz w:val="18"/>
              </w:rPr>
            </w:pPr>
            <w:r w:rsidRPr="00287574">
              <w:rPr>
                <w:color w:val="auto"/>
                <w:sz w:val="18"/>
              </w:rPr>
              <w:t>20 A</w:t>
            </w:r>
          </w:p>
        </w:tc>
        <w:tc>
          <w:tcPr>
            <w:tcW w:w="1560" w:type="dxa"/>
            <w:tcBorders>
              <w:top w:val="single" w:sz="6" w:space="0" w:color="auto"/>
              <w:bottom w:val="single" w:sz="6" w:space="0" w:color="auto"/>
            </w:tcBorders>
            <w:vAlign w:val="center"/>
          </w:tcPr>
          <w:p w14:paraId="4A3861E9" w14:textId="77777777" w:rsidR="00CF7C5D" w:rsidRPr="00287574" w:rsidRDefault="00CF7C5D" w:rsidP="004C7296">
            <w:pPr>
              <w:spacing w:before="60" w:after="60"/>
              <w:jc w:val="center"/>
              <w:rPr>
                <w:rFonts w:cs="Arial"/>
                <w:color w:val="auto"/>
                <w:sz w:val="18"/>
              </w:rPr>
            </w:pPr>
            <w:proofErr w:type="gramStart"/>
            <w:r w:rsidRPr="00287574">
              <w:rPr>
                <w:color w:val="auto"/>
                <w:sz w:val="18"/>
              </w:rPr>
              <w:t>jusqu'à</w:t>
            </w:r>
            <w:proofErr w:type="gramEnd"/>
            <w:r w:rsidRPr="00287574">
              <w:rPr>
                <w:color w:val="auto"/>
                <w:sz w:val="18"/>
              </w:rPr>
              <w:t xml:space="preserve"> 4,6 kW</w:t>
            </w:r>
          </w:p>
        </w:tc>
        <w:tc>
          <w:tcPr>
            <w:tcW w:w="2551" w:type="dxa"/>
            <w:vMerge/>
            <w:tcBorders>
              <w:top w:val="single" w:sz="6" w:space="0" w:color="auto"/>
              <w:bottom w:val="single" w:sz="6" w:space="0" w:color="auto"/>
            </w:tcBorders>
            <w:vAlign w:val="center"/>
          </w:tcPr>
          <w:p w14:paraId="7010F831" w14:textId="77777777" w:rsidR="00CF7C5D" w:rsidRPr="00287574" w:rsidRDefault="00CF7C5D" w:rsidP="004C7296">
            <w:pPr>
              <w:spacing w:before="60" w:after="60"/>
              <w:jc w:val="center"/>
              <w:rPr>
                <w:rFonts w:cs="Arial"/>
                <w:color w:val="auto"/>
                <w:sz w:val="18"/>
              </w:rPr>
            </w:pPr>
          </w:p>
        </w:tc>
      </w:tr>
      <w:tr w:rsidR="00CF7C5D" w:rsidRPr="00287574" w14:paraId="00853387" w14:textId="77777777" w:rsidTr="00241F4F">
        <w:tc>
          <w:tcPr>
            <w:tcW w:w="1843" w:type="dxa"/>
            <w:tcBorders>
              <w:top w:val="single" w:sz="6" w:space="0" w:color="auto"/>
              <w:bottom w:val="single" w:sz="12" w:space="0" w:color="auto"/>
            </w:tcBorders>
            <w:vAlign w:val="center"/>
          </w:tcPr>
          <w:p w14:paraId="7EAFF8F0" w14:textId="53878631" w:rsidR="00CF7C5D" w:rsidRPr="00287574" w:rsidRDefault="00717634" w:rsidP="004C7296">
            <w:pPr>
              <w:spacing w:before="60" w:after="60"/>
              <w:jc w:val="center"/>
              <w:rPr>
                <w:rFonts w:cs="Arial"/>
                <w:color w:val="auto"/>
                <w:sz w:val="18"/>
              </w:rPr>
            </w:pPr>
            <w:r w:rsidRPr="00287574">
              <w:rPr>
                <w:color w:val="auto"/>
                <w:sz w:val="18"/>
              </w:rPr>
              <w:t>Boîtier mural à raccordement fixe</w:t>
            </w:r>
          </w:p>
        </w:tc>
        <w:tc>
          <w:tcPr>
            <w:tcW w:w="1276" w:type="dxa"/>
            <w:tcBorders>
              <w:top w:val="single" w:sz="6" w:space="0" w:color="auto"/>
              <w:bottom w:val="single" w:sz="12" w:space="0" w:color="auto"/>
            </w:tcBorders>
            <w:vAlign w:val="center"/>
          </w:tcPr>
          <w:p w14:paraId="3FEE099F" w14:textId="77777777" w:rsidR="00CF7C5D" w:rsidRPr="00287574" w:rsidRDefault="00CF7C5D" w:rsidP="004C7296">
            <w:pPr>
              <w:spacing w:before="60" w:after="60"/>
              <w:jc w:val="center"/>
              <w:rPr>
                <w:rFonts w:cs="Arial"/>
                <w:color w:val="auto"/>
                <w:sz w:val="18"/>
              </w:rPr>
            </w:pPr>
            <w:r w:rsidRPr="00287574">
              <w:rPr>
                <w:color w:val="auto"/>
                <w:sz w:val="18"/>
              </w:rPr>
              <w:t>Triphasé, 400 V</w:t>
            </w:r>
          </w:p>
        </w:tc>
        <w:tc>
          <w:tcPr>
            <w:tcW w:w="1276" w:type="dxa"/>
            <w:tcBorders>
              <w:top w:val="single" w:sz="6" w:space="0" w:color="auto"/>
              <w:bottom w:val="single" w:sz="12" w:space="0" w:color="auto"/>
            </w:tcBorders>
            <w:vAlign w:val="center"/>
          </w:tcPr>
          <w:p w14:paraId="29F3EB1C" w14:textId="77777777" w:rsidR="00CF7C5D" w:rsidRPr="00287574" w:rsidRDefault="00CF7C5D" w:rsidP="004C7296">
            <w:pPr>
              <w:spacing w:before="60" w:after="60"/>
              <w:jc w:val="center"/>
              <w:rPr>
                <w:rFonts w:cs="Arial"/>
                <w:color w:val="auto"/>
                <w:sz w:val="18"/>
              </w:rPr>
            </w:pPr>
            <w:r w:rsidRPr="00287574">
              <w:rPr>
                <w:color w:val="auto"/>
                <w:sz w:val="18"/>
              </w:rPr>
              <w:t>3</w:t>
            </w:r>
          </w:p>
        </w:tc>
        <w:tc>
          <w:tcPr>
            <w:tcW w:w="1275" w:type="dxa"/>
            <w:tcBorders>
              <w:top w:val="single" w:sz="6" w:space="0" w:color="auto"/>
              <w:bottom w:val="single" w:sz="12" w:space="0" w:color="auto"/>
            </w:tcBorders>
            <w:vAlign w:val="center"/>
          </w:tcPr>
          <w:p w14:paraId="0D8F5C8E" w14:textId="77777777" w:rsidR="00CF7C5D" w:rsidRPr="00287574" w:rsidRDefault="00CF7C5D" w:rsidP="004C7296">
            <w:pPr>
              <w:spacing w:before="60" w:after="60"/>
              <w:jc w:val="center"/>
              <w:rPr>
                <w:rFonts w:cs="Arial"/>
                <w:color w:val="auto"/>
                <w:sz w:val="18"/>
              </w:rPr>
            </w:pPr>
            <w:r w:rsidRPr="00287574">
              <w:rPr>
                <w:color w:val="auto"/>
                <w:sz w:val="18"/>
              </w:rPr>
              <w:t>32 A</w:t>
            </w:r>
          </w:p>
        </w:tc>
        <w:tc>
          <w:tcPr>
            <w:tcW w:w="1560" w:type="dxa"/>
            <w:tcBorders>
              <w:top w:val="single" w:sz="6" w:space="0" w:color="auto"/>
              <w:bottom w:val="single" w:sz="12" w:space="0" w:color="auto"/>
            </w:tcBorders>
            <w:vAlign w:val="center"/>
          </w:tcPr>
          <w:p w14:paraId="4FDE5CB9" w14:textId="77777777" w:rsidR="00CF7C5D" w:rsidRPr="00287574" w:rsidRDefault="00CF7C5D" w:rsidP="004C7296">
            <w:pPr>
              <w:spacing w:before="60" w:after="60"/>
              <w:jc w:val="center"/>
              <w:rPr>
                <w:rFonts w:cs="Arial"/>
                <w:color w:val="auto"/>
                <w:sz w:val="18"/>
              </w:rPr>
            </w:pPr>
            <w:proofErr w:type="gramStart"/>
            <w:r w:rsidRPr="00287574">
              <w:rPr>
                <w:color w:val="auto"/>
                <w:sz w:val="18"/>
              </w:rPr>
              <w:t>jusqu'à</w:t>
            </w:r>
            <w:proofErr w:type="gramEnd"/>
            <w:r w:rsidRPr="00287574">
              <w:rPr>
                <w:color w:val="auto"/>
                <w:sz w:val="18"/>
              </w:rPr>
              <w:t xml:space="preserve"> 22 kW</w:t>
            </w:r>
          </w:p>
        </w:tc>
        <w:tc>
          <w:tcPr>
            <w:tcW w:w="2551" w:type="dxa"/>
            <w:vMerge/>
            <w:tcBorders>
              <w:top w:val="single" w:sz="6" w:space="0" w:color="auto"/>
              <w:bottom w:val="single" w:sz="12" w:space="0" w:color="auto"/>
            </w:tcBorders>
            <w:vAlign w:val="center"/>
          </w:tcPr>
          <w:p w14:paraId="2097F455" w14:textId="77777777" w:rsidR="00CF7C5D" w:rsidRPr="00287574" w:rsidRDefault="00CF7C5D" w:rsidP="004C7296">
            <w:pPr>
              <w:spacing w:before="60" w:after="60"/>
              <w:jc w:val="center"/>
              <w:rPr>
                <w:rFonts w:cs="Arial"/>
                <w:color w:val="auto"/>
                <w:sz w:val="18"/>
              </w:rPr>
            </w:pPr>
          </w:p>
        </w:tc>
      </w:tr>
    </w:tbl>
    <w:p w14:paraId="69BCB19B" w14:textId="2AA25025" w:rsidR="004307E7" w:rsidRPr="00287574" w:rsidRDefault="004307E7" w:rsidP="00334846">
      <w:pPr>
        <w:pStyle w:val="Titre2"/>
      </w:pPr>
      <w:bookmarkStart w:id="33" w:name="_Toc37844158"/>
      <w:bookmarkStart w:id="34" w:name="_Toc40432333"/>
      <w:r w:rsidRPr="00287574">
        <w:t>Délestage</w:t>
      </w:r>
      <w:bookmarkEnd w:id="33"/>
      <w:bookmarkEnd w:id="34"/>
    </w:p>
    <w:p w14:paraId="7C55A3EB" w14:textId="3B733F81" w:rsidR="00C8011E" w:rsidRPr="00287574" w:rsidRDefault="00CF7C5D" w:rsidP="00CF7C5D">
      <w:pPr>
        <w:rPr>
          <w:rFonts w:cs="Arial"/>
          <w:color w:val="auto"/>
        </w:rPr>
      </w:pPr>
      <w:r w:rsidRPr="00287574">
        <w:rPr>
          <w:color w:val="auto"/>
        </w:rPr>
        <w:t xml:space="preserve">Pour éviter une mise hors tension complète en cas </w:t>
      </w:r>
      <w:r w:rsidRPr="00626B2C">
        <w:rPr>
          <w:color w:val="auto"/>
        </w:rPr>
        <w:t>de goulots d'étranglement locaux et temporaires</w:t>
      </w:r>
      <w:r w:rsidRPr="00287574">
        <w:rPr>
          <w:color w:val="auto"/>
        </w:rPr>
        <w:t xml:space="preserve"> dans le réseau de distribution par le GRD, ce dernier peut provoquer une </w:t>
      </w:r>
      <w:r w:rsidR="009C103C">
        <w:rPr>
          <w:color w:val="auto"/>
        </w:rPr>
        <w:t>réduction de la puissance de charge</w:t>
      </w:r>
      <w:r w:rsidRPr="00287574">
        <w:rPr>
          <w:color w:val="auto"/>
        </w:rPr>
        <w:t xml:space="preserve"> en activant le relais R2 du </w:t>
      </w:r>
      <w:proofErr w:type="spellStart"/>
      <w:r w:rsidRPr="00287574">
        <w:rPr>
          <w:i/>
          <w:iCs/>
          <w:color w:val="auto"/>
        </w:rPr>
        <w:t>Smarty</w:t>
      </w:r>
      <w:proofErr w:type="spellEnd"/>
      <w:r w:rsidRPr="00287574">
        <w:rPr>
          <w:color w:val="auto"/>
        </w:rPr>
        <w:t xml:space="preserve">. </w:t>
      </w:r>
      <w:r w:rsidR="003425D1">
        <w:rPr>
          <w:color w:val="auto"/>
        </w:rPr>
        <w:t xml:space="preserve">Selon les </w:t>
      </w:r>
      <w:r w:rsidR="00231776">
        <w:rPr>
          <w:color w:val="auto"/>
        </w:rPr>
        <w:t>TAB</w:t>
      </w:r>
      <w:r w:rsidR="002654A9" w:rsidRPr="00287574">
        <w:rPr>
          <w:rStyle w:val="Appelnotedebasdep"/>
          <w:rFonts w:cs="Arial"/>
          <w:color w:val="auto"/>
        </w:rPr>
        <w:footnoteReference w:id="2"/>
      </w:r>
      <w:r w:rsidRPr="00287574">
        <w:rPr>
          <w:color w:val="auto"/>
        </w:rPr>
        <w:t xml:space="preserve">, à partir d'une puissance supérieure ou égale à 7 kW, le dispositif de recharge doit être raccordé au compteur intelligent. Dès que le contact R2 est fermé, la station de recharge « intelligente » doit réduire la puissance de recharge </w:t>
      </w:r>
      <w:r w:rsidRPr="00287574">
        <w:rPr>
          <w:b/>
          <w:bCs/>
          <w:color w:val="auto"/>
        </w:rPr>
        <w:t>d'au moins 30 % en l'espace de 30 secondes si elle fonctionne avec une puissance nominale de 7 kW ou plus, ou d'au moins 50 % si la puissance nominale est supérieure ou égale à 11 kW</w:t>
      </w:r>
      <w:r w:rsidRPr="00287574">
        <w:rPr>
          <w:i/>
          <w:iCs/>
          <w:color w:val="auto"/>
          <w:u w:val="single"/>
        </w:rPr>
        <w:t>.</w:t>
      </w:r>
      <w:r w:rsidRPr="00287574">
        <w:rPr>
          <w:color w:val="auto"/>
        </w:rPr>
        <w:t xml:space="preserve"> Si le boîtier mural ne le permet pas ou s'il est alimenté via une prise CEE, un contacteur supplémentaire doit être prévu pour couper l'alimentation du boîtier mural ou de la prise CEE.</w:t>
      </w:r>
    </w:p>
    <w:p w14:paraId="49C1D896" w14:textId="0C8C3CB1" w:rsidR="00CF7C5D" w:rsidRPr="00287574" w:rsidRDefault="00CF7C5D" w:rsidP="00334846">
      <w:pPr>
        <w:pStyle w:val="Titre2"/>
      </w:pPr>
      <w:bookmarkStart w:id="35" w:name="_Toc22731545"/>
      <w:bookmarkStart w:id="36" w:name="_Toc37844159"/>
      <w:bookmarkStart w:id="37" w:name="_Toc40432334"/>
      <w:r w:rsidRPr="00287574">
        <w:t>Temps de recharge</w:t>
      </w:r>
      <w:bookmarkEnd w:id="35"/>
      <w:bookmarkEnd w:id="36"/>
      <w:bookmarkEnd w:id="37"/>
    </w:p>
    <w:p w14:paraId="2C9EBC73" w14:textId="48E60B13" w:rsidR="00CF7C5D" w:rsidRPr="00287574" w:rsidRDefault="00CF7C5D" w:rsidP="00CF7C5D">
      <w:pPr>
        <w:rPr>
          <w:rFonts w:cs="Arial"/>
          <w:color w:val="auto"/>
        </w:rPr>
      </w:pPr>
      <w:r w:rsidRPr="00287574">
        <w:rPr>
          <w:color w:val="auto"/>
        </w:rPr>
        <w:t xml:space="preserve">Les diagrammes suivants illustrent le temps de recharge (en triphasé) de véhicules électriques disponibles </w:t>
      </w:r>
      <w:r w:rsidR="003425D1">
        <w:rPr>
          <w:color w:val="auto"/>
        </w:rPr>
        <w:t>sur le marché</w:t>
      </w:r>
      <w:r w:rsidRPr="00287574">
        <w:rPr>
          <w:color w:val="auto"/>
        </w:rPr>
        <w:t xml:space="preserve"> avec une capacité de recharge de 41 kWh (autonomie d'environ 200 km), pour une recharge complète (avec une réserve de 25 %) sur l'illustration 1 et pour une recharge minimale sur l'illustration 2</w:t>
      </w:r>
      <w:r w:rsidRPr="00287574">
        <w:rPr>
          <w:rStyle w:val="Appelnotedebasdep"/>
          <w:rFonts w:cs="Arial"/>
          <w:color w:val="auto"/>
        </w:rPr>
        <w:footnoteReference w:id="3"/>
      </w:r>
      <w:r w:rsidRPr="00287574">
        <w:rPr>
          <w:color w:val="auto"/>
        </w:rPr>
        <w:t>, afin d'atteindre une autonomie quotidienne de 40 km</w:t>
      </w:r>
      <w:r w:rsidRPr="00287574">
        <w:rPr>
          <w:rStyle w:val="Appelnotedebasdep"/>
          <w:rFonts w:cs="Arial"/>
          <w:color w:val="auto"/>
        </w:rPr>
        <w:footnoteReference w:id="4"/>
      </w:r>
      <w:r w:rsidRPr="00287574">
        <w:rPr>
          <w:color w:val="auto"/>
        </w:rPr>
        <w:t>.</w:t>
      </w:r>
    </w:p>
    <w:p w14:paraId="60B045F7" w14:textId="476CC009" w:rsidR="00CF7C5D" w:rsidRPr="00287574" w:rsidRDefault="005D6301" w:rsidP="00CF7C5D">
      <w:pPr>
        <w:keepNext/>
        <w:jc w:val="center"/>
        <w:rPr>
          <w:rFonts w:cs="Arial"/>
          <w:color w:val="auto"/>
        </w:rPr>
      </w:pPr>
      <w:r w:rsidRPr="00287574">
        <w:rPr>
          <w:noProof/>
          <w:color w:val="auto"/>
          <w:lang w:eastAsia="en-US"/>
        </w:rPr>
        <w:lastRenderedPageBreak/>
        <w:drawing>
          <wp:inline distT="0" distB="0" distL="0" distR="0" wp14:anchorId="32100578" wp14:editId="1E879CD4">
            <wp:extent cx="6210935" cy="18180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shot 2020-04-22 at 08.58.13.png"/>
                    <pic:cNvPicPr/>
                  </pic:nvPicPr>
                  <pic:blipFill>
                    <a:blip r:embed="rId21">
                      <a:extLst>
                        <a:ext uri="{28A0092B-C50C-407E-A947-70E740481C1C}">
                          <a14:useLocalDpi xmlns:a14="http://schemas.microsoft.com/office/drawing/2010/main" val="0"/>
                        </a:ext>
                      </a:extLst>
                    </a:blip>
                    <a:stretch>
                      <a:fillRect/>
                    </a:stretch>
                  </pic:blipFill>
                  <pic:spPr>
                    <a:xfrm>
                      <a:off x="0" y="0"/>
                      <a:ext cx="6210935" cy="1818005"/>
                    </a:xfrm>
                    <a:prstGeom prst="rect">
                      <a:avLst/>
                    </a:prstGeom>
                  </pic:spPr>
                </pic:pic>
              </a:graphicData>
            </a:graphic>
          </wp:inline>
        </w:drawing>
      </w:r>
    </w:p>
    <w:p w14:paraId="65790BCA" w14:textId="27000355" w:rsidR="00CF7C5D" w:rsidRPr="00287574" w:rsidRDefault="00CF7C5D" w:rsidP="002A5C35">
      <w:pPr>
        <w:pStyle w:val="Lgende"/>
        <w:jc w:val="left"/>
        <w:rPr>
          <w:rFonts w:ascii="Arial" w:hAnsi="Arial" w:cs="Arial"/>
          <w:b/>
          <w:bCs/>
          <w:i w:val="0"/>
          <w:iCs/>
          <w:sz w:val="22"/>
          <w:szCs w:val="22"/>
        </w:rPr>
      </w:pPr>
      <w:r w:rsidRPr="00287574">
        <w:rPr>
          <w:rFonts w:ascii="Arial" w:hAnsi="Arial"/>
          <w:b/>
          <w:bCs/>
          <w:i w:val="0"/>
          <w:iCs/>
          <w:sz w:val="22"/>
          <w:szCs w:val="22"/>
        </w:rPr>
        <w:t>Illustration</w:t>
      </w:r>
      <w:r w:rsidRPr="00287574">
        <w:rPr>
          <w:rFonts w:ascii="Arial" w:hAnsi="Arial" w:cs="Arial"/>
          <w:b/>
          <w:bCs/>
          <w:i w:val="0"/>
          <w:iCs/>
          <w:sz w:val="22"/>
          <w:szCs w:val="22"/>
        </w:rPr>
        <w:fldChar w:fldCharType="begin"/>
      </w:r>
      <w:r w:rsidRPr="00287574">
        <w:rPr>
          <w:rFonts w:ascii="Arial" w:hAnsi="Arial" w:cs="Arial"/>
          <w:b/>
          <w:bCs/>
          <w:i w:val="0"/>
          <w:iCs/>
          <w:sz w:val="22"/>
          <w:szCs w:val="22"/>
        </w:rPr>
        <w:instrText xml:space="preserve"> SEQ Abbildung \* ARABIC </w:instrText>
      </w:r>
      <w:r w:rsidRPr="00287574">
        <w:rPr>
          <w:rFonts w:ascii="Arial" w:hAnsi="Arial" w:cs="Arial"/>
          <w:b/>
          <w:bCs/>
          <w:i w:val="0"/>
          <w:iCs/>
          <w:sz w:val="22"/>
          <w:szCs w:val="22"/>
        </w:rPr>
        <w:fldChar w:fldCharType="separate"/>
      </w:r>
      <w:r w:rsidR="00287574" w:rsidRPr="00287574">
        <w:rPr>
          <w:rFonts w:ascii="Arial" w:hAnsi="Arial" w:cs="Arial"/>
          <w:b/>
          <w:bCs/>
          <w:i w:val="0"/>
          <w:iCs/>
          <w:sz w:val="22"/>
          <w:szCs w:val="22"/>
        </w:rPr>
        <w:t>1</w:t>
      </w:r>
      <w:r w:rsidRPr="00287574">
        <w:rPr>
          <w:rFonts w:ascii="Arial" w:hAnsi="Arial" w:cs="Arial"/>
          <w:b/>
          <w:bCs/>
          <w:i w:val="0"/>
          <w:iCs/>
          <w:sz w:val="22"/>
          <w:szCs w:val="22"/>
        </w:rPr>
        <w:fldChar w:fldCharType="end"/>
      </w:r>
      <w:r w:rsidRPr="00287574">
        <w:rPr>
          <w:rFonts w:ascii="Arial" w:hAnsi="Arial"/>
          <w:b/>
          <w:bCs/>
          <w:i w:val="0"/>
          <w:iCs/>
          <w:sz w:val="22"/>
          <w:szCs w:val="22"/>
        </w:rPr>
        <w:t> : Temps requis pour une recharge complète (en fonction de la puissance de recharge)</w:t>
      </w:r>
    </w:p>
    <w:p w14:paraId="6FC63645" w14:textId="77777777" w:rsidR="00CF7C5D" w:rsidRPr="00287574" w:rsidRDefault="00CF7C5D" w:rsidP="00CF7C5D">
      <w:pPr>
        <w:rPr>
          <w:rFonts w:cs="Arial"/>
          <w:color w:val="auto"/>
        </w:rPr>
      </w:pPr>
    </w:p>
    <w:p w14:paraId="221CF8DE" w14:textId="5132667D" w:rsidR="00CF7C5D" w:rsidRPr="00287574" w:rsidRDefault="005D6301" w:rsidP="005D6301">
      <w:pPr>
        <w:tabs>
          <w:tab w:val="left" w:pos="1418"/>
        </w:tabs>
        <w:rPr>
          <w:rFonts w:cs="Arial"/>
          <w:color w:val="auto"/>
        </w:rPr>
      </w:pPr>
      <w:r w:rsidRPr="00287574">
        <w:rPr>
          <w:noProof/>
          <w:color w:val="auto"/>
          <w:lang w:eastAsia="en-US"/>
        </w:rPr>
        <w:drawing>
          <wp:anchor distT="0" distB="0" distL="114300" distR="114300" simplePos="0" relativeHeight="251677696" behindDoc="1" locked="0" layoutInCell="1" allowOverlap="1" wp14:anchorId="14B296DB" wp14:editId="34A34687">
            <wp:simplePos x="0" y="0"/>
            <wp:positionH relativeFrom="column">
              <wp:posOffset>-133188</wp:posOffset>
            </wp:positionH>
            <wp:positionV relativeFrom="paragraph">
              <wp:posOffset>796290</wp:posOffset>
            </wp:positionV>
            <wp:extent cx="6522720" cy="1701165"/>
            <wp:effectExtent l="0" t="0" r="5080" b="635"/>
            <wp:wrapTight wrapText="bothSides">
              <wp:wrapPolygon edited="0">
                <wp:start x="0" y="0"/>
                <wp:lineTo x="0" y="21447"/>
                <wp:lineTo x="21575" y="21447"/>
                <wp:lineTo x="2157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20-04-22 at 08.58.21.png"/>
                    <pic:cNvPicPr/>
                  </pic:nvPicPr>
                  <pic:blipFill>
                    <a:blip r:embed="rId22">
                      <a:extLst>
                        <a:ext uri="{28A0092B-C50C-407E-A947-70E740481C1C}">
                          <a14:useLocalDpi xmlns:a14="http://schemas.microsoft.com/office/drawing/2010/main" val="0"/>
                        </a:ext>
                      </a:extLst>
                    </a:blip>
                    <a:stretch>
                      <a:fillRect/>
                    </a:stretch>
                  </pic:blipFill>
                  <pic:spPr>
                    <a:xfrm>
                      <a:off x="0" y="0"/>
                      <a:ext cx="6522720" cy="1701165"/>
                    </a:xfrm>
                    <a:prstGeom prst="rect">
                      <a:avLst/>
                    </a:prstGeom>
                  </pic:spPr>
                </pic:pic>
              </a:graphicData>
            </a:graphic>
            <wp14:sizeRelH relativeFrom="page">
              <wp14:pctWidth>0</wp14:pctWidth>
            </wp14:sizeRelH>
            <wp14:sizeRelV relativeFrom="page">
              <wp14:pctHeight>0</wp14:pctHeight>
            </wp14:sizeRelV>
          </wp:anchor>
        </w:drawing>
      </w:r>
      <w:r w:rsidRPr="00287574">
        <w:rPr>
          <w:color w:val="auto"/>
        </w:rPr>
        <w:t>Attention : Les valeurs présentées dans l'illustration 1 sont simplifiées. Dans la réalité, le processus de recharge ralentit à la fin d'une recharge complète. En règle générale, une voiture électrique se recharge jusqu'à environ 80 % avec une capacité de charge élevée, puis la puissance est progressivement réduite pour préserver la batterie.</w:t>
      </w:r>
    </w:p>
    <w:p w14:paraId="4C84239B" w14:textId="603AF769" w:rsidR="00CF7C5D" w:rsidRPr="00287574" w:rsidRDefault="00CF7C5D" w:rsidP="00CF7C5D">
      <w:pPr>
        <w:keepNext/>
        <w:spacing w:before="240"/>
        <w:jc w:val="center"/>
        <w:rPr>
          <w:rFonts w:cs="Arial"/>
          <w:color w:val="auto"/>
        </w:rPr>
      </w:pPr>
    </w:p>
    <w:p w14:paraId="3513FE62" w14:textId="59827EFA" w:rsidR="007C5CE8" w:rsidRPr="00287574" w:rsidRDefault="00CF7C5D" w:rsidP="002A5C35">
      <w:pPr>
        <w:pStyle w:val="Lgende"/>
        <w:jc w:val="left"/>
        <w:rPr>
          <w:rFonts w:ascii="Arial" w:hAnsi="Arial" w:cs="Arial"/>
          <w:b/>
          <w:bCs/>
          <w:i w:val="0"/>
          <w:iCs/>
          <w:sz w:val="22"/>
          <w:szCs w:val="22"/>
        </w:rPr>
      </w:pPr>
      <w:r w:rsidRPr="00287574">
        <w:rPr>
          <w:rFonts w:ascii="Arial" w:hAnsi="Arial"/>
          <w:b/>
          <w:bCs/>
          <w:i w:val="0"/>
          <w:iCs/>
          <w:sz w:val="22"/>
          <w:szCs w:val="22"/>
        </w:rPr>
        <w:t>Illustration</w:t>
      </w:r>
      <w:r w:rsidRPr="00287574">
        <w:rPr>
          <w:rFonts w:ascii="Arial" w:hAnsi="Arial" w:cs="Arial"/>
          <w:b/>
          <w:bCs/>
          <w:i w:val="0"/>
          <w:iCs/>
          <w:sz w:val="22"/>
          <w:szCs w:val="22"/>
        </w:rPr>
        <w:fldChar w:fldCharType="begin"/>
      </w:r>
      <w:r w:rsidRPr="00287574">
        <w:rPr>
          <w:rFonts w:ascii="Arial" w:hAnsi="Arial" w:cs="Arial"/>
          <w:b/>
          <w:bCs/>
          <w:i w:val="0"/>
          <w:iCs/>
          <w:sz w:val="22"/>
          <w:szCs w:val="22"/>
        </w:rPr>
        <w:instrText xml:space="preserve"> SEQ Abbildung \* ARABIC </w:instrText>
      </w:r>
      <w:r w:rsidRPr="00287574">
        <w:rPr>
          <w:rFonts w:ascii="Arial" w:hAnsi="Arial" w:cs="Arial"/>
          <w:b/>
          <w:bCs/>
          <w:i w:val="0"/>
          <w:iCs/>
          <w:sz w:val="22"/>
          <w:szCs w:val="22"/>
        </w:rPr>
        <w:fldChar w:fldCharType="separate"/>
      </w:r>
      <w:r w:rsidR="00287574" w:rsidRPr="00287574">
        <w:rPr>
          <w:rFonts w:ascii="Arial" w:hAnsi="Arial" w:cs="Arial"/>
          <w:b/>
          <w:bCs/>
          <w:i w:val="0"/>
          <w:iCs/>
          <w:sz w:val="22"/>
          <w:szCs w:val="22"/>
        </w:rPr>
        <w:t>2</w:t>
      </w:r>
      <w:r w:rsidRPr="00287574">
        <w:rPr>
          <w:rFonts w:ascii="Arial" w:hAnsi="Arial" w:cs="Arial"/>
          <w:b/>
          <w:bCs/>
          <w:i w:val="0"/>
          <w:iCs/>
          <w:sz w:val="22"/>
          <w:szCs w:val="22"/>
        </w:rPr>
        <w:fldChar w:fldCharType="end"/>
      </w:r>
      <w:r w:rsidRPr="00287574">
        <w:rPr>
          <w:rFonts w:ascii="Arial" w:hAnsi="Arial"/>
          <w:b/>
          <w:bCs/>
          <w:i w:val="0"/>
          <w:iCs/>
          <w:sz w:val="22"/>
          <w:szCs w:val="22"/>
        </w:rPr>
        <w:t> : Temps requis pour une autonomie minimale de 40 km (en fonction de la puissance de recharge)</w:t>
      </w:r>
    </w:p>
    <w:tbl>
      <w:tblPr>
        <w:tblW w:w="956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000" w:firstRow="0" w:lastRow="0" w:firstColumn="0" w:lastColumn="0" w:noHBand="0" w:noVBand="0"/>
      </w:tblPr>
      <w:tblGrid>
        <w:gridCol w:w="9561"/>
      </w:tblGrid>
      <w:tr w:rsidR="007C5CE8" w:rsidRPr="00287574" w14:paraId="3665D306" w14:textId="77777777" w:rsidTr="006A1EED">
        <w:trPr>
          <w:trHeight w:val="5730"/>
        </w:trPr>
        <w:tc>
          <w:tcPr>
            <w:tcW w:w="9561" w:type="dxa"/>
            <w:shd w:val="clear" w:color="auto" w:fill="F2F2F2" w:themeFill="background1" w:themeFillShade="F2"/>
          </w:tcPr>
          <w:p w14:paraId="5EB3266F" w14:textId="4ABAFF79" w:rsidR="007C5CE8" w:rsidRPr="00287574" w:rsidRDefault="007C5CE8" w:rsidP="006A1EED">
            <w:pPr>
              <w:ind w:left="-67"/>
              <w:rPr>
                <w:rFonts w:cs="Arial"/>
                <w:color w:val="auto"/>
              </w:rPr>
            </w:pPr>
            <w:r w:rsidRPr="00287574">
              <w:rPr>
                <w:color w:val="auto"/>
              </w:rPr>
              <w:lastRenderedPageBreak/>
              <w:t>Le choix du mode de recharge et du courant de recharge influe de manière significative sur l'efficacité de la recharge. Avec des courants de recharge élevés et des températures extrêmes, les voitures électriques ont souvent besoin d'énergie supplémentaire pour la climatisation de la batterie. En règle générale, 70 à 90 % de l'énergie fournie par le réseau sont stockés dans la batterie. Les pertes de charge réelles ne dépendant pas seulement du type de véhicule, mais aussi d'autres influences et plus particulièrement de la météo, l'hypothèse de départ des exemples ci-dessus est une consommation de 20 kWh/100 km de la station de recharge, c'est-à-dire en incluant les pertes de charge.</w:t>
            </w:r>
          </w:p>
          <w:tbl>
            <w:tblPr>
              <w:tblStyle w:val="Grilledutablea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268"/>
            </w:tblGrid>
            <w:tr w:rsidR="007C5CE8" w:rsidRPr="00287574" w14:paraId="5131E1E3" w14:textId="77777777" w:rsidTr="006A1EED">
              <w:tc>
                <w:tcPr>
                  <w:tcW w:w="6804" w:type="dxa"/>
                  <w:shd w:val="clear" w:color="auto" w:fill="auto"/>
                </w:tcPr>
                <w:p w14:paraId="19D651A9" w14:textId="77777777" w:rsidR="007C5CE8" w:rsidRPr="00287574" w:rsidRDefault="007C5CE8" w:rsidP="006A1EED">
                  <w:pPr>
                    <w:rPr>
                      <w:rFonts w:cs="Arial"/>
                      <w:color w:val="auto"/>
                    </w:rPr>
                  </w:pPr>
                  <w:r w:rsidRPr="00287574">
                    <w:rPr>
                      <w:noProof/>
                      <w:color w:val="auto"/>
                      <w:lang w:eastAsia="en-US"/>
                    </w:rPr>
                    <mc:AlternateContent>
                      <mc:Choice Requires="wps">
                        <w:drawing>
                          <wp:anchor distT="0" distB="0" distL="114300" distR="114300" simplePos="0" relativeHeight="251665408" behindDoc="0" locked="0" layoutInCell="1" allowOverlap="1" wp14:anchorId="7B5D551C" wp14:editId="4696FB66">
                            <wp:simplePos x="0" y="0"/>
                            <wp:positionH relativeFrom="column">
                              <wp:posOffset>1953261</wp:posOffset>
                            </wp:positionH>
                            <wp:positionV relativeFrom="paragraph">
                              <wp:posOffset>510539</wp:posOffset>
                            </wp:positionV>
                            <wp:extent cx="726440" cy="269875"/>
                            <wp:effectExtent l="0" t="0" r="16510" b="15875"/>
                            <wp:wrapNone/>
                            <wp:docPr id="2" name="Oval 13"/>
                            <wp:cNvGraphicFramePr/>
                            <a:graphic xmlns:a="http://schemas.openxmlformats.org/drawingml/2006/main">
                              <a:graphicData uri="http://schemas.microsoft.com/office/word/2010/wordprocessingShape">
                                <wps:wsp>
                                  <wps:cNvSpPr/>
                                  <wps:spPr>
                                    <a:xfrm>
                                      <a:off x="0" y="0"/>
                                      <a:ext cx="726440" cy="269875"/>
                                    </a:xfrm>
                                    <a:prstGeom prst="ellipse">
                                      <a:avLst/>
                                    </a:prstGeom>
                                    <a:noFill/>
                                    <a:ln w="190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1032CC" id="Oval 13" o:spid="_x0000_s1026" style="position:absolute;margin-left:153.8pt;margin-top:40.2pt;width:57.2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" filled="f" strokecolor="#ed7d31 [3205]" strokeweight="1.5pt"/>
                        </w:pict>
                      </mc:Fallback>
                    </mc:AlternateContent>
                  </w:r>
                  <w:r w:rsidRPr="00287574">
                    <w:rPr>
                      <w:noProof/>
                      <w:color w:val="auto"/>
                      <w:lang w:eastAsia="en-US"/>
                    </w:rPr>
                    <w:drawing>
                      <wp:inline distT="0" distB="0" distL="0" distR="0" wp14:anchorId="29374502" wp14:editId="485F261B">
                        <wp:extent cx="2620753" cy="910590"/>
                        <wp:effectExtent l="0" t="0" r="8255" b="3810"/>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6183"/>
                                <a:stretch/>
                              </pic:blipFill>
                              <pic:spPr bwMode="auto">
                                <a:xfrm>
                                  <a:off x="0" y="0"/>
                                  <a:ext cx="2621357" cy="910800"/>
                                </a:xfrm>
                                <a:prstGeom prst="rect">
                                  <a:avLst/>
                                </a:prstGeom>
                                <a:ln>
                                  <a:noFill/>
                                </a:ln>
                                <a:extLst>
                                  <a:ext uri="{53640926-AAD7-44D8-BBD7-CCE9431645EC}">
                                    <a14:shadowObscured xmlns:a14="http://schemas.microsoft.com/office/drawing/2010/main"/>
                                  </a:ext>
                                </a:extLst>
                              </pic:spPr>
                            </pic:pic>
                          </a:graphicData>
                        </a:graphic>
                      </wp:inline>
                    </w:drawing>
                  </w:r>
                </w:p>
                <w:p w14:paraId="4E0771FF" w14:textId="0B6A9949" w:rsidR="007C5CE8" w:rsidRPr="00287574" w:rsidRDefault="007C5CE8" w:rsidP="006A1EED">
                  <w:pPr>
                    <w:rPr>
                      <w:rFonts w:cs="Arial"/>
                      <w:color w:val="auto"/>
                    </w:rPr>
                  </w:pPr>
                  <w:r w:rsidRPr="00287574">
                    <w:rPr>
                      <w:color w:val="auto"/>
                    </w:rPr>
                    <w:t>Affichage de l'ordinateur de bord : consommation de la batterie en kWh/100 km</w:t>
                  </w:r>
                </w:p>
                <w:p w14:paraId="0EAD26EC" w14:textId="2427A565" w:rsidR="007C5CE8" w:rsidRPr="00287574" w:rsidRDefault="007C5CE8" w:rsidP="006A1EED">
                  <w:pPr>
                    <w:jc w:val="right"/>
                    <w:rPr>
                      <w:rFonts w:cs="Arial"/>
                      <w:color w:val="auto"/>
                    </w:rPr>
                  </w:pPr>
                  <w:r w:rsidRPr="00287574">
                    <w:rPr>
                      <w:color w:val="auto"/>
                    </w:rPr>
                    <w:t>Un compteur calibré dans la colonne de recharge mesure l'énergie fournie au véhicule, y compris les pertes de charge.</w:t>
                  </w:r>
                </w:p>
              </w:tc>
              <w:tc>
                <w:tcPr>
                  <w:tcW w:w="2268" w:type="dxa"/>
                  <w:vMerge w:val="restart"/>
                  <w:shd w:val="clear" w:color="auto" w:fill="auto"/>
                </w:tcPr>
                <w:p w14:paraId="23BAD2B3" w14:textId="77777777" w:rsidR="007C5CE8" w:rsidRPr="00287574" w:rsidRDefault="007C5CE8" w:rsidP="006A1EED">
                  <w:pPr>
                    <w:rPr>
                      <w:rFonts w:cs="Arial"/>
                      <w:color w:val="auto"/>
                    </w:rPr>
                  </w:pPr>
                  <w:r w:rsidRPr="00287574">
                    <w:rPr>
                      <w:noProof/>
                      <w:color w:val="auto"/>
                      <w:lang w:eastAsia="en-US"/>
                    </w:rPr>
                    <mc:AlternateContent>
                      <mc:Choice Requires="wps">
                        <w:drawing>
                          <wp:anchor distT="0" distB="0" distL="114300" distR="114300" simplePos="0" relativeHeight="251666432" behindDoc="0" locked="0" layoutInCell="1" allowOverlap="1" wp14:anchorId="0545C57C" wp14:editId="60B5DA32">
                            <wp:simplePos x="0" y="0"/>
                            <wp:positionH relativeFrom="column">
                              <wp:posOffset>304165</wp:posOffset>
                            </wp:positionH>
                            <wp:positionV relativeFrom="paragraph">
                              <wp:posOffset>871220</wp:posOffset>
                            </wp:positionV>
                            <wp:extent cx="396815" cy="263106"/>
                            <wp:effectExtent l="12700" t="12700" r="10160" b="16510"/>
                            <wp:wrapNone/>
                            <wp:docPr id="10" name="Oval 16"/>
                            <wp:cNvGraphicFramePr/>
                            <a:graphic xmlns:a="http://schemas.openxmlformats.org/drawingml/2006/main">
                              <a:graphicData uri="http://schemas.microsoft.com/office/word/2010/wordprocessingShape">
                                <wps:wsp>
                                  <wps:cNvSpPr/>
                                  <wps:spPr>
                                    <a:xfrm>
                                      <a:off x="0" y="0"/>
                                      <a:ext cx="396815" cy="263106"/>
                                    </a:xfrm>
                                    <a:prstGeom prst="ellipse">
                                      <a:avLst/>
                                    </a:prstGeom>
                                    <a:noFill/>
                                    <a:ln w="190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9EB02E" id="Oval 16" o:spid="_x0000_s1026" style="position:absolute;margin-left:23.95pt;margin-top:68.6pt;width:31.25pt;height:20.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" filled="f" strokecolor="#ed7d31 [3205]" strokeweight="1.5pt"/>
                        </w:pict>
                      </mc:Fallback>
                    </mc:AlternateContent>
                  </w:r>
                  <w:r w:rsidRPr="00287574">
                    <w:rPr>
                      <w:color w:val="auto"/>
                    </w:rPr>
                    <w:t xml:space="preserve"> </w:t>
                  </w:r>
                  <w:r w:rsidRPr="00287574">
                    <w:rPr>
                      <w:noProof/>
                      <w:lang w:eastAsia="en-US"/>
                    </w:rPr>
                    <w:drawing>
                      <wp:inline distT="0" distB="0" distL="0" distR="0" wp14:anchorId="3B809A30" wp14:editId="4FA7FE1A">
                        <wp:extent cx="838800" cy="2008800"/>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699"/>
                                <a:stretch/>
                              </pic:blipFill>
                              <pic:spPr bwMode="auto">
                                <a:xfrm>
                                  <a:off x="0" y="0"/>
                                  <a:ext cx="838800" cy="2008800"/>
                                </a:xfrm>
                                <a:prstGeom prst="rect">
                                  <a:avLst/>
                                </a:prstGeom>
                                <a:ln>
                                  <a:noFill/>
                                </a:ln>
                                <a:extLst>
                                  <a:ext uri="{53640926-AAD7-44D8-BBD7-CCE9431645EC}">
                                    <a14:shadowObscured xmlns:a14="http://schemas.microsoft.com/office/drawing/2010/main"/>
                                  </a:ext>
                                </a:extLst>
                              </pic:spPr>
                            </pic:pic>
                          </a:graphicData>
                        </a:graphic>
                      </wp:inline>
                    </w:drawing>
                  </w:r>
                </w:p>
              </w:tc>
            </w:tr>
            <w:tr w:rsidR="007C5CE8" w:rsidRPr="00287574" w14:paraId="3A86C52A" w14:textId="77777777" w:rsidTr="006A1EED">
              <w:tc>
                <w:tcPr>
                  <w:tcW w:w="6804" w:type="dxa"/>
                  <w:shd w:val="clear" w:color="auto" w:fill="auto"/>
                </w:tcPr>
                <w:p w14:paraId="01B39889" w14:textId="77777777" w:rsidR="007C5CE8" w:rsidRPr="00287574" w:rsidRDefault="007C5CE8" w:rsidP="006A1EED">
                  <w:pPr>
                    <w:rPr>
                      <w:rFonts w:cs="Arial"/>
                      <w:color w:val="auto"/>
                    </w:rPr>
                  </w:pPr>
                </w:p>
              </w:tc>
              <w:tc>
                <w:tcPr>
                  <w:tcW w:w="2268" w:type="dxa"/>
                  <w:vMerge/>
                  <w:shd w:val="clear" w:color="auto" w:fill="auto"/>
                </w:tcPr>
                <w:p w14:paraId="61EF75CB" w14:textId="77777777" w:rsidR="007C5CE8" w:rsidRPr="00287574" w:rsidRDefault="007C5CE8" w:rsidP="006A1EED">
                  <w:pPr>
                    <w:rPr>
                      <w:rFonts w:cs="Arial"/>
                      <w:color w:val="auto"/>
                    </w:rPr>
                  </w:pPr>
                </w:p>
              </w:tc>
            </w:tr>
          </w:tbl>
          <w:p w14:paraId="5F46B39F" w14:textId="77777777" w:rsidR="007C5CE8" w:rsidRPr="00287574" w:rsidRDefault="007C5CE8" w:rsidP="006A1EED">
            <w:pPr>
              <w:rPr>
                <w:rFonts w:cs="Arial"/>
                <w:color w:val="auto"/>
              </w:rPr>
            </w:pPr>
          </w:p>
        </w:tc>
      </w:tr>
    </w:tbl>
    <w:p w14:paraId="79F247A3" w14:textId="77777777" w:rsidR="007C5CE8" w:rsidRPr="00287574" w:rsidRDefault="007C5CE8" w:rsidP="003750E9">
      <w:pPr>
        <w:rPr>
          <w:color w:val="auto"/>
        </w:rPr>
      </w:pPr>
    </w:p>
    <w:p w14:paraId="09FD14C4" w14:textId="59BB217D" w:rsidR="00CF7C5D" w:rsidRPr="00287574" w:rsidRDefault="00CF7C5D" w:rsidP="00334846">
      <w:pPr>
        <w:pStyle w:val="Titre1"/>
        <w:numPr>
          <w:ilvl w:val="0"/>
          <w:numId w:val="17"/>
        </w:numPr>
      </w:pPr>
      <w:bookmarkStart w:id="38" w:name="_Toc22731546"/>
      <w:bookmarkStart w:id="39" w:name="_Toc37844160"/>
      <w:bookmarkStart w:id="40" w:name="_Toc40432335"/>
      <w:r w:rsidRPr="00287574">
        <w:t>Exigences techniques pour l'installation électrique des dispositifs de recharge</w:t>
      </w:r>
      <w:bookmarkEnd w:id="38"/>
      <w:bookmarkEnd w:id="39"/>
      <w:bookmarkEnd w:id="40"/>
    </w:p>
    <w:p w14:paraId="5385C387" w14:textId="48A1F4C6" w:rsidR="00CF7C5D" w:rsidRPr="00287574" w:rsidRDefault="00CF7C5D" w:rsidP="00334846">
      <w:pPr>
        <w:pStyle w:val="Titre2"/>
      </w:pPr>
      <w:bookmarkStart w:id="41" w:name="_Toc22731547"/>
      <w:bookmarkStart w:id="42" w:name="_Toc37844161"/>
      <w:bookmarkStart w:id="43" w:name="_Toc40432336"/>
      <w:r w:rsidRPr="00287574">
        <w:t>Dispositions en matière de relevés et de services à valeur ajoutée</w:t>
      </w:r>
      <w:bookmarkEnd w:id="41"/>
      <w:bookmarkEnd w:id="42"/>
      <w:bookmarkEnd w:id="43"/>
    </w:p>
    <w:p w14:paraId="4DAB000A" w14:textId="2184102A" w:rsidR="00CF7C5D" w:rsidRPr="00287574" w:rsidRDefault="00CF7C5D" w:rsidP="00CF7C5D">
      <w:pPr>
        <w:rPr>
          <w:rFonts w:cs="Arial"/>
          <w:color w:val="auto"/>
        </w:rPr>
      </w:pPr>
      <w:r w:rsidRPr="00287574">
        <w:rPr>
          <w:color w:val="auto"/>
        </w:rPr>
        <w:t>Les paramètres essentiels de dimensionnement des circuits de recharge pour le raccordement des dispositifs de recharge sont les suivants :</w:t>
      </w:r>
    </w:p>
    <w:p w14:paraId="342D4BFC" w14:textId="626CD028" w:rsidR="00CF7C5D" w:rsidRPr="00287574" w:rsidRDefault="00CF7C5D" w:rsidP="00CF7C5D">
      <w:pPr>
        <w:pStyle w:val="Paragraphedeliste"/>
        <w:rPr>
          <w:rFonts w:ascii="Arial" w:hAnsi="Arial" w:cs="Arial"/>
        </w:rPr>
      </w:pPr>
      <w:r w:rsidRPr="00287574">
        <w:rPr>
          <w:rFonts w:ascii="Arial" w:hAnsi="Arial"/>
        </w:rPr>
        <w:t>Puissance requise en fonction du mode de recharge</w:t>
      </w:r>
    </w:p>
    <w:p w14:paraId="48C8DFE8" w14:textId="037A8885" w:rsidR="00CF7C5D" w:rsidRPr="00287574" w:rsidRDefault="00CF7C5D" w:rsidP="00CF7C5D">
      <w:pPr>
        <w:pStyle w:val="Paragraphedeliste"/>
        <w:rPr>
          <w:rFonts w:ascii="Arial" w:hAnsi="Arial" w:cs="Arial"/>
        </w:rPr>
      </w:pPr>
      <w:r w:rsidRPr="00287574">
        <w:rPr>
          <w:rFonts w:ascii="Arial" w:hAnsi="Arial"/>
        </w:rPr>
        <w:t>Facteurs de simultanéité possibles pour l'alimentation des dispositifs de recharge avec plusieurs points de raccordement</w:t>
      </w:r>
    </w:p>
    <w:p w14:paraId="5D42AD8F" w14:textId="75DF158E" w:rsidR="00CF7C5D" w:rsidRPr="00287574" w:rsidRDefault="00CF7C5D" w:rsidP="00CF7C5D">
      <w:pPr>
        <w:pStyle w:val="Paragraphedeliste"/>
        <w:rPr>
          <w:rFonts w:ascii="Arial" w:hAnsi="Arial" w:cs="Arial"/>
        </w:rPr>
      </w:pPr>
      <w:r w:rsidRPr="00287574">
        <w:rPr>
          <w:rFonts w:ascii="Arial" w:hAnsi="Arial"/>
        </w:rPr>
        <w:t>Chute de tension compte tenu de la longueur et de la section des câbles, ainsi que des facteurs de simultanéité</w:t>
      </w:r>
    </w:p>
    <w:p w14:paraId="62091E77" w14:textId="3C43ACDF" w:rsidR="00CF7C5D" w:rsidRPr="00287574" w:rsidRDefault="00CF7C5D" w:rsidP="00CF7C5D">
      <w:pPr>
        <w:pStyle w:val="Paragraphedeliste"/>
        <w:rPr>
          <w:rFonts w:ascii="Arial" w:hAnsi="Arial" w:cs="Arial"/>
        </w:rPr>
      </w:pPr>
      <w:r w:rsidRPr="00287574">
        <w:rPr>
          <w:rFonts w:ascii="Arial" w:hAnsi="Arial"/>
        </w:rPr>
        <w:t xml:space="preserve">Facteurs de réduction requis pour les capacités de charge des </w:t>
      </w:r>
      <w:r w:rsidR="004E75FE">
        <w:rPr>
          <w:rFonts w:ascii="Arial" w:hAnsi="Arial"/>
        </w:rPr>
        <w:t>prises</w:t>
      </w:r>
      <w:r w:rsidRPr="00287574">
        <w:rPr>
          <w:rFonts w:ascii="Arial" w:hAnsi="Arial"/>
        </w:rPr>
        <w:t>, des interrupteurs et des dispositifs de protection en raison d'une charge permanente</w:t>
      </w:r>
    </w:p>
    <w:p w14:paraId="1A639ADE" w14:textId="2E2F1BEE" w:rsidR="00CF7C5D" w:rsidRPr="00287574" w:rsidRDefault="00CF7C5D" w:rsidP="00CF7C5D">
      <w:pPr>
        <w:rPr>
          <w:rFonts w:cs="Arial"/>
          <w:color w:val="auto"/>
        </w:rPr>
      </w:pPr>
      <w:r w:rsidRPr="00287574">
        <w:rPr>
          <w:color w:val="auto"/>
        </w:rPr>
        <w:lastRenderedPageBreak/>
        <w:t>Pour les modes de recharge 2, 3 (voir le chapitre 2.2) et 4</w:t>
      </w:r>
      <w:r w:rsidR="00316A06" w:rsidRPr="00287574">
        <w:rPr>
          <w:rStyle w:val="Appelnotedebasdep"/>
          <w:rFonts w:cs="Arial"/>
          <w:color w:val="auto"/>
        </w:rPr>
        <w:footnoteReference w:id="5"/>
      </w:r>
      <w:r w:rsidRPr="00287574">
        <w:rPr>
          <w:color w:val="auto"/>
        </w:rPr>
        <w:t xml:space="preserve">, il existe toujours une communication de base entre l'IC-CPD ou la station de recharge et le véhicule, permettant d'échanger des informations sur les états de fonctionnement de base. </w:t>
      </w:r>
    </w:p>
    <w:p w14:paraId="7A38F942" w14:textId="7795C721" w:rsidR="00CF7C5D" w:rsidRPr="00287574" w:rsidRDefault="00CF7C5D" w:rsidP="00CF7C5D">
      <w:pPr>
        <w:rPr>
          <w:rFonts w:cs="Arial"/>
          <w:color w:val="auto"/>
        </w:rPr>
      </w:pPr>
      <w:r w:rsidRPr="00287574">
        <w:rPr>
          <w:color w:val="auto"/>
        </w:rPr>
        <w:t xml:space="preserve">Une communication supplémentaire conforme à la norme ISO 15118 est possible en option avec le mode de recharge 3, à condition qu'elle soit </w:t>
      </w:r>
      <w:r w:rsidR="001F1FAB">
        <w:rPr>
          <w:color w:val="auto"/>
        </w:rPr>
        <w:t xml:space="preserve">supportée </w:t>
      </w:r>
      <w:r w:rsidRPr="00287574">
        <w:rPr>
          <w:color w:val="auto"/>
        </w:rPr>
        <w:t xml:space="preserve">par le véhicule. Elle permet un échange de données automatisé et sécurisé entre le véhicule et l'infrastructure de recharge. Le véhicule transmet les données d'autorisation chiffrées à la station de recharge via le câble de recharge. Une fois la connexion établie, la recharge démarre automatiquement et le processus de paiement se déroule sans autre interaction, sans carte de recharge et sans application pour smartphone. Ces options doivent être étudiées lors du choix de la technologie de recharge dans le cadre de la mise en place de nouvelles stations de recharge. Même si la </w:t>
      </w:r>
      <w:r w:rsidR="00DF29EC">
        <w:rPr>
          <w:color w:val="auto"/>
        </w:rPr>
        <w:t>disponibilité</w:t>
      </w:r>
      <w:r w:rsidRPr="00287574">
        <w:rPr>
          <w:color w:val="auto"/>
        </w:rPr>
        <w:t xml:space="preserve"> de véhicules et produits compatibles est encore limitée, la norme ISO 15118 devrait, à n'en pas douter, gagner en importance à l'avenir.</w:t>
      </w:r>
    </w:p>
    <w:p w14:paraId="76BF452C" w14:textId="1BE36A85" w:rsidR="00CF7C5D" w:rsidRPr="00287574" w:rsidRDefault="00CF7C5D" w:rsidP="00CF7C5D">
      <w:pPr>
        <w:rPr>
          <w:rFonts w:cs="Arial"/>
          <w:color w:val="auto"/>
        </w:rPr>
      </w:pPr>
      <w:r w:rsidRPr="00287574">
        <w:rPr>
          <w:color w:val="auto"/>
        </w:rPr>
        <w:t>Pour garantir ces informations, il doit naturellement exister une connexion de données entre la station de recharge et le dispositif de facturation compétent (par ex., OSM). Les différentes fonctions de l'infrastructure de recharge, comme l'authentification, la transmission de l'état du point de recharge ou la transmission des informations relatives aux relevés et à la facturation, nécessitent l'accès à un système dit de backend, c'est-à-dire une structure de réseau en aval, comme un serveur de base de données, sur lequel les informations sont stockées ou à partir duquel elles peuvent être appelées.</w:t>
      </w:r>
    </w:p>
    <w:p w14:paraId="22CD8DEA" w14:textId="1C41266A" w:rsidR="00CF7C5D" w:rsidRPr="00287574" w:rsidRDefault="00CF7C5D" w:rsidP="00CF7C5D">
      <w:pPr>
        <w:rPr>
          <w:rFonts w:eastAsia="Times New Roman" w:cs="Arial"/>
          <w:color w:val="auto"/>
          <w:sz w:val="24"/>
        </w:rPr>
      </w:pPr>
      <w:r w:rsidRPr="00287574">
        <w:rPr>
          <w:color w:val="auto"/>
        </w:rPr>
        <w:t>Les stations de recharge peuvent également être accessibles à des tiers (par ex., des clients, des employés, des invités pour les immeubles résidentiels). Reste alors à savoir qui paie pour les coûts d'infrastructure et de recharge : le consommateur, le propriétaire de l'infrastructure de recharge ou un prestataire de services indépendant ? De plus, des services à valeur ajoutée, comme la recharge dynamique ou la gestion de l'énergie, peuvent être envisagés. Bien entendu, cela nécessite des connexions via le backend aux prestataires de services concernés (exploitants de stations de recharge, GRD, fournisseur d'électricité, etc.). Pour le planificateur ou l'installateur, il en résulte la nécessité de fournir des connexions de données adéquates le cas échéant (par ex. via Ethernet ou téléphonie mobile).</w:t>
      </w:r>
    </w:p>
    <w:p w14:paraId="42CA1742" w14:textId="0A6B7ED0" w:rsidR="00CF7C5D" w:rsidRPr="00287574" w:rsidRDefault="00CF7C5D" w:rsidP="00CF7C5D">
      <w:pPr>
        <w:rPr>
          <w:rFonts w:eastAsiaTheme="minorHAnsi" w:cs="Arial"/>
          <w:color w:val="auto"/>
          <w:szCs w:val="22"/>
        </w:rPr>
      </w:pPr>
      <w:r w:rsidRPr="00287574">
        <w:rPr>
          <w:color w:val="auto"/>
          <w:szCs w:val="22"/>
        </w:rPr>
        <w:t>L'annexe 1 est une présentation des normes et protocoles actuels ainsi que de leur interaction avec tous les aspects de l'infrastructure de recharge.</w:t>
      </w:r>
    </w:p>
    <w:p w14:paraId="5DEB233B" w14:textId="2F3182AF" w:rsidR="00CF7C5D" w:rsidRPr="00287574" w:rsidRDefault="00CF7C5D" w:rsidP="00CF7C5D">
      <w:pPr>
        <w:rPr>
          <w:rFonts w:eastAsiaTheme="majorEastAsia" w:cstheme="majorBidi"/>
          <w:b/>
          <w:color w:val="auto"/>
          <w:szCs w:val="26"/>
        </w:rPr>
      </w:pPr>
      <w:r w:rsidRPr="00287574">
        <w:rPr>
          <w:color w:val="auto"/>
        </w:rPr>
        <w:t>La conversion actuelle des dispositifs de mesure (du gestionnaire de réseau</w:t>
      </w:r>
      <w:r w:rsidR="009C103C">
        <w:rPr>
          <w:color w:val="auto"/>
        </w:rPr>
        <w:t>x</w:t>
      </w:r>
      <w:r w:rsidRPr="00287574">
        <w:rPr>
          <w:color w:val="auto"/>
        </w:rPr>
        <w:t xml:space="preserve"> de distribution) en compteurs intelligents offre également au client la possibilité de mieux utiliser les futures offres tarifaires dynamiques de l'électricité (en fonction du jour, de l'heure, etc.). </w:t>
      </w:r>
    </w:p>
    <w:p w14:paraId="20B369A0" w14:textId="2015323D" w:rsidR="00CF7C5D" w:rsidRPr="00287574" w:rsidRDefault="00CF7C5D" w:rsidP="00334846">
      <w:pPr>
        <w:pStyle w:val="Titre2"/>
      </w:pPr>
      <w:bookmarkStart w:id="44" w:name="_Toc22731548"/>
      <w:bookmarkStart w:id="45" w:name="_Toc37844162"/>
      <w:bookmarkStart w:id="46" w:name="_Toc40432337"/>
      <w:r w:rsidRPr="00287574">
        <w:t>Puissance de raccordement requise</w:t>
      </w:r>
      <w:bookmarkEnd w:id="44"/>
      <w:bookmarkEnd w:id="45"/>
      <w:bookmarkEnd w:id="46"/>
    </w:p>
    <w:p w14:paraId="1DE7D4C7" w14:textId="48052DE8" w:rsidR="00CF7C5D" w:rsidRPr="00287574" w:rsidRDefault="00CF7C5D" w:rsidP="00CF7C5D">
      <w:pPr>
        <w:rPr>
          <w:rFonts w:cs="Arial"/>
          <w:color w:val="auto"/>
        </w:rPr>
      </w:pPr>
      <w:r w:rsidRPr="00287574">
        <w:rPr>
          <w:color w:val="auto"/>
        </w:rPr>
        <w:t>Le dimensionnement correct de la puissance de raccordement influe significativement sur la sécurité et la fiabilité de la charge. L'installation électrique fixe doit être planifiée pour le raccordement immédiat ou futur de dispositifs de recharge de manière à fournir simultanément la puissance requise aux points de recharge à alimenter. Les informations suivantes doivent être discutées avec le maître d'</w:t>
      </w:r>
      <w:r w:rsidR="00DE7BAA">
        <w:rPr>
          <w:color w:val="auto"/>
        </w:rPr>
        <w:t>ouvrage</w:t>
      </w:r>
      <w:r w:rsidRPr="00287574">
        <w:rPr>
          <w:color w:val="auto"/>
        </w:rPr>
        <w:t xml:space="preserve">, </w:t>
      </w:r>
      <w:r w:rsidRPr="00287574">
        <w:rPr>
          <w:color w:val="auto"/>
        </w:rPr>
        <w:lastRenderedPageBreak/>
        <w:t>car elles ont un impact significatif sur la puissance de raccordement requise et sur le potentiel de charge :</w:t>
      </w:r>
    </w:p>
    <w:p w14:paraId="61DA8BDD" w14:textId="7076A187" w:rsidR="00CF7C5D" w:rsidRPr="00287574" w:rsidRDefault="00CF7C5D" w:rsidP="00CF7C5D">
      <w:pPr>
        <w:pStyle w:val="Paragraphedeliste"/>
        <w:rPr>
          <w:rFonts w:ascii="Arial" w:hAnsi="Arial" w:cs="Arial"/>
        </w:rPr>
      </w:pPr>
      <w:proofErr w:type="gramStart"/>
      <w:r w:rsidRPr="00287574">
        <w:rPr>
          <w:rFonts w:ascii="Arial" w:hAnsi="Arial"/>
        </w:rPr>
        <w:t>le</w:t>
      </w:r>
      <w:proofErr w:type="gramEnd"/>
      <w:r w:rsidRPr="00287574">
        <w:rPr>
          <w:rFonts w:ascii="Arial" w:hAnsi="Arial"/>
        </w:rPr>
        <w:t xml:space="preserve"> type et le nombre de véhicules électriques à prévoir pour ce site,</w:t>
      </w:r>
    </w:p>
    <w:p w14:paraId="1834989F" w14:textId="4F5819CB" w:rsidR="00CF7C5D" w:rsidRPr="00287574" w:rsidRDefault="00CF7C5D" w:rsidP="00CF7C5D">
      <w:pPr>
        <w:pStyle w:val="Paragraphedeliste"/>
        <w:rPr>
          <w:rFonts w:ascii="Arial" w:hAnsi="Arial" w:cs="Arial"/>
        </w:rPr>
      </w:pPr>
      <w:proofErr w:type="gramStart"/>
      <w:r w:rsidRPr="00287574">
        <w:rPr>
          <w:rFonts w:ascii="Arial" w:hAnsi="Arial"/>
        </w:rPr>
        <w:t>la</w:t>
      </w:r>
      <w:proofErr w:type="gramEnd"/>
      <w:r w:rsidRPr="00287574">
        <w:rPr>
          <w:rFonts w:ascii="Arial" w:hAnsi="Arial"/>
        </w:rPr>
        <w:t xml:space="preserve"> </w:t>
      </w:r>
      <w:r w:rsidR="009C103C">
        <w:rPr>
          <w:rFonts w:ascii="Arial" w:hAnsi="Arial"/>
        </w:rPr>
        <w:t>puissance</w:t>
      </w:r>
      <w:r w:rsidRPr="00287574">
        <w:rPr>
          <w:rFonts w:ascii="Arial" w:hAnsi="Arial"/>
        </w:rPr>
        <w:t xml:space="preserve"> de charge des véhicules à raccorder (le GRD autorise une puissance totale maximale dédiée à la mobilité électrique),</w:t>
      </w:r>
    </w:p>
    <w:p w14:paraId="34CFBE7D" w14:textId="6658DEA7" w:rsidR="00CF7C5D" w:rsidRPr="00287574" w:rsidRDefault="00CF7C5D" w:rsidP="00CF7C5D">
      <w:pPr>
        <w:pStyle w:val="Paragraphedeliste"/>
        <w:rPr>
          <w:rFonts w:ascii="Arial" w:hAnsi="Arial" w:cs="Arial"/>
        </w:rPr>
      </w:pPr>
      <w:proofErr w:type="gramStart"/>
      <w:r w:rsidRPr="00287574">
        <w:rPr>
          <w:rFonts w:ascii="Arial" w:hAnsi="Arial"/>
        </w:rPr>
        <w:t>la</w:t>
      </w:r>
      <w:proofErr w:type="gramEnd"/>
      <w:r w:rsidRPr="00287574">
        <w:rPr>
          <w:rFonts w:ascii="Arial" w:hAnsi="Arial"/>
        </w:rPr>
        <w:t xml:space="preserve"> durée moyenne de stationnement prévue (répartition jour/nuit),</w:t>
      </w:r>
    </w:p>
    <w:p w14:paraId="20CB9A21" w14:textId="7A62A573" w:rsidR="00CF7C5D" w:rsidRPr="00287574" w:rsidRDefault="00CF7C5D" w:rsidP="00CF7C5D">
      <w:pPr>
        <w:pStyle w:val="Paragraphedeliste"/>
        <w:rPr>
          <w:rFonts w:ascii="Arial" w:hAnsi="Arial" w:cs="Arial"/>
        </w:rPr>
      </w:pPr>
      <w:proofErr w:type="gramStart"/>
      <w:r w:rsidRPr="00287574">
        <w:rPr>
          <w:rFonts w:ascii="Arial" w:hAnsi="Arial"/>
        </w:rPr>
        <w:t>la</w:t>
      </w:r>
      <w:proofErr w:type="gramEnd"/>
      <w:r w:rsidRPr="00287574">
        <w:rPr>
          <w:rFonts w:ascii="Arial" w:hAnsi="Arial"/>
        </w:rPr>
        <w:t xml:space="preserve"> quantité d'énergie à recharger ou l'autonomie par processus de charge.</w:t>
      </w:r>
    </w:p>
    <w:p w14:paraId="05EF7DC5" w14:textId="7714F7DC" w:rsidR="00CF7C5D" w:rsidRPr="00287574" w:rsidRDefault="00CF7C5D" w:rsidP="00CF7C5D">
      <w:pPr>
        <w:rPr>
          <w:rFonts w:cs="Arial"/>
          <w:color w:val="auto"/>
        </w:rPr>
      </w:pPr>
      <w:r w:rsidRPr="00287574">
        <w:rPr>
          <w:color w:val="auto"/>
        </w:rPr>
        <w:t xml:space="preserve">Outre les besoins généraux en électricité d'un bâtiment, la puissance de charge influe sur le dimensionnement du raccordement maximal du bâtiment. Généralement, des facteurs de simultanéité sont pris en compte ici, en se basant sur la probabilité que tous les consommateurs ne solliciteront pas simultanément leurs besoins en puissance maximale. Cependant, ces facteurs de simultanéité pour les unités résidentielles ne peuvent pas être appliqués selon un rapport de </w:t>
      </w:r>
      <w:proofErr w:type="gramStart"/>
      <w:r w:rsidRPr="00287574">
        <w:rPr>
          <w:color w:val="auto"/>
        </w:rPr>
        <w:t>1:</w:t>
      </w:r>
      <w:proofErr w:type="gramEnd"/>
      <w:r w:rsidRPr="00287574">
        <w:rPr>
          <w:color w:val="auto"/>
        </w:rPr>
        <w:t>1 pour les stations de recharge : par ex., dans les immeubles résidentiels, la probabilité que tous les véhicules soient rechargés le soir est relativement élevée. Cependant, il est raisonnable de penser que ces véhicules ne seront (normalement) que peu ou pas utilisés jusqu'au lendemain. Il est donc conseillé de déterminer ce besoin en électricité en fonction des critères suivants :</w:t>
      </w:r>
    </w:p>
    <w:p w14:paraId="4FB890CF" w14:textId="77777777" w:rsidR="00CF7C5D" w:rsidRPr="00287574" w:rsidRDefault="00CF7C5D" w:rsidP="00E960C3">
      <w:pPr>
        <w:pStyle w:val="Paragraphedeliste"/>
        <w:numPr>
          <w:ilvl w:val="0"/>
          <w:numId w:val="8"/>
        </w:numPr>
        <w:rPr>
          <w:rFonts w:ascii="Arial" w:hAnsi="Arial" w:cs="Arial"/>
        </w:rPr>
      </w:pPr>
      <w:proofErr w:type="gramStart"/>
      <w:r w:rsidRPr="00287574">
        <w:rPr>
          <w:rFonts w:ascii="Arial" w:hAnsi="Arial"/>
        </w:rPr>
        <w:t>niveau</w:t>
      </w:r>
      <w:proofErr w:type="gramEnd"/>
      <w:r w:rsidRPr="00287574">
        <w:rPr>
          <w:rFonts w:ascii="Arial" w:hAnsi="Arial"/>
        </w:rPr>
        <w:t xml:space="preserve"> de charge au début de la recharge,</w:t>
      </w:r>
    </w:p>
    <w:p w14:paraId="76982F69" w14:textId="7A75AFC0" w:rsidR="00CF7C5D" w:rsidRPr="00287574" w:rsidRDefault="00CF7C5D" w:rsidP="00E960C3">
      <w:pPr>
        <w:pStyle w:val="Paragraphedeliste"/>
        <w:numPr>
          <w:ilvl w:val="0"/>
          <w:numId w:val="8"/>
        </w:numPr>
        <w:rPr>
          <w:rFonts w:ascii="Arial" w:hAnsi="Arial" w:cs="Arial"/>
        </w:rPr>
      </w:pPr>
      <w:proofErr w:type="gramStart"/>
      <w:r w:rsidRPr="00287574">
        <w:rPr>
          <w:rFonts w:ascii="Arial" w:hAnsi="Arial"/>
        </w:rPr>
        <w:t>autonomie</w:t>
      </w:r>
      <w:proofErr w:type="gramEnd"/>
      <w:r w:rsidRPr="00287574">
        <w:rPr>
          <w:rFonts w:ascii="Arial" w:hAnsi="Arial"/>
        </w:rPr>
        <w:t xml:space="preserve"> souhaitée après la recharge,</w:t>
      </w:r>
    </w:p>
    <w:p w14:paraId="475FC3A8" w14:textId="664F3830" w:rsidR="00CF7C5D" w:rsidRPr="00287574" w:rsidRDefault="00CF7C5D" w:rsidP="00E960C3">
      <w:pPr>
        <w:pStyle w:val="Paragraphedeliste"/>
        <w:numPr>
          <w:ilvl w:val="0"/>
          <w:numId w:val="8"/>
        </w:numPr>
        <w:rPr>
          <w:rFonts w:ascii="Arial" w:hAnsi="Arial" w:cs="Arial"/>
        </w:rPr>
      </w:pPr>
      <w:proofErr w:type="gramStart"/>
      <w:r w:rsidRPr="00287574">
        <w:rPr>
          <w:rFonts w:ascii="Arial" w:hAnsi="Arial"/>
        </w:rPr>
        <w:t>durée</w:t>
      </w:r>
      <w:proofErr w:type="gramEnd"/>
      <w:r w:rsidRPr="00287574">
        <w:rPr>
          <w:rFonts w:ascii="Arial" w:hAnsi="Arial"/>
        </w:rPr>
        <w:t xml:space="preserve"> prévue pour la recharge (quand le véhicule doit-il être prêt</w:t>
      </w:r>
      <w:r w:rsidR="009C103C">
        <w:rPr>
          <w:rFonts w:ascii="Arial" w:hAnsi="Arial"/>
        </w:rPr>
        <w:t> ?</w:t>
      </w:r>
      <w:r w:rsidRPr="00287574">
        <w:rPr>
          <w:rFonts w:ascii="Arial" w:hAnsi="Arial"/>
        </w:rPr>
        <w:t>).</w:t>
      </w:r>
    </w:p>
    <w:p w14:paraId="59A467AE" w14:textId="5AD0FE49" w:rsidR="00CF7C5D" w:rsidRPr="00287574" w:rsidRDefault="00626A38" w:rsidP="00CF7C5D">
      <w:pPr>
        <w:rPr>
          <w:rFonts w:cs="Arial"/>
          <w:color w:val="auto"/>
        </w:rPr>
      </w:pPr>
      <w:r w:rsidRPr="00287574">
        <w:rPr>
          <w:color w:val="auto"/>
        </w:rPr>
        <w:t>Si la gestion de la recharge est utilisée, ces informations peuvent être transmises au système via une interface (voir au chapitre 4.2</w:t>
      </w:r>
      <w:r w:rsidRPr="00287574">
        <w:t xml:space="preserve"> </w:t>
      </w:r>
      <w:r w:rsidR="00CF7C5D" w:rsidRPr="00287574">
        <w:rPr>
          <w:rFonts w:cs="Arial"/>
          <w:color w:val="auto"/>
        </w:rPr>
        <w:fldChar w:fldCharType="begin"/>
      </w:r>
      <w:r w:rsidR="00CF7C5D" w:rsidRPr="00287574">
        <w:rPr>
          <w:rFonts w:cs="Arial"/>
          <w:color w:val="auto"/>
        </w:rPr>
        <w:instrText xml:space="preserve"> REF _Ref532301441 \h </w:instrText>
      </w:r>
      <w:r w:rsidR="007D020A" w:rsidRPr="00287574">
        <w:rPr>
          <w:rFonts w:cs="Arial"/>
          <w:color w:val="auto"/>
        </w:rPr>
        <w:instrText xml:space="preserve"> \* MERGEFORMAT </w:instrText>
      </w:r>
      <w:r w:rsidR="00CF7C5D" w:rsidRPr="00287574">
        <w:rPr>
          <w:rFonts w:cs="Arial"/>
          <w:color w:val="auto"/>
        </w:rPr>
      </w:r>
      <w:r w:rsidR="00CF7C5D" w:rsidRPr="00287574">
        <w:rPr>
          <w:rFonts w:cs="Arial"/>
          <w:color w:val="auto"/>
        </w:rPr>
        <w:fldChar w:fldCharType="separate"/>
      </w:r>
      <w:r w:rsidR="00287574" w:rsidRPr="00287574">
        <w:rPr>
          <w:rFonts w:cs="Arial"/>
          <w:color w:val="auto"/>
        </w:rPr>
        <w:t>Gestion</w:t>
      </w:r>
      <w:r w:rsidR="00287574" w:rsidRPr="00287574">
        <w:t xml:space="preserve"> </w:t>
      </w:r>
      <w:r w:rsidR="00287574" w:rsidRPr="00DD04BE">
        <w:rPr>
          <w:color w:val="auto"/>
        </w:rPr>
        <w:t>de la charge</w:t>
      </w:r>
      <w:r w:rsidR="00CF7C5D" w:rsidRPr="00287574">
        <w:rPr>
          <w:rFonts w:cs="Arial"/>
          <w:color w:val="auto"/>
        </w:rPr>
        <w:fldChar w:fldCharType="end"/>
      </w:r>
      <w:r w:rsidRPr="00287574">
        <w:t xml:space="preserve"> </w:t>
      </w:r>
      <w:r w:rsidRPr="00287574">
        <w:rPr>
          <w:color w:val="auto"/>
        </w:rPr>
        <w:t>).</w:t>
      </w:r>
    </w:p>
    <w:p w14:paraId="132A5A9A" w14:textId="2E0F5724" w:rsidR="00CF7C5D" w:rsidRPr="00287574" w:rsidRDefault="00CF7C5D" w:rsidP="00CF7C5D">
      <w:pPr>
        <w:rPr>
          <w:rFonts w:cs="Arial"/>
          <w:color w:val="auto"/>
        </w:rPr>
      </w:pPr>
      <w:r w:rsidRPr="00287574">
        <w:rPr>
          <w:color w:val="auto"/>
        </w:rPr>
        <w:t>Conformément à la norme CEI 61851-1, les véhicules électriques doivent être chargés avec au moins 6 A (</w:t>
      </w:r>
      <w:r w:rsidR="00E07BF7">
        <w:rPr>
          <w:color w:val="auto"/>
        </w:rPr>
        <w:t xml:space="preserve">ce qui </w:t>
      </w:r>
      <w:r w:rsidRPr="00287574">
        <w:rPr>
          <w:color w:val="auto"/>
        </w:rPr>
        <w:t>correspond à un courant triphasé d'environ 4 kW). Lors de la pré-planification de l'infrastructure de recharge pour véhicules électriques dans des bâtiments résidentiels, la puissance de charge totale souhaitée peut être déterminée à l'aide de la règle empirique suivante :</w:t>
      </w:r>
    </w:p>
    <w:p w14:paraId="5AE277FF" w14:textId="52ACD89E" w:rsidR="00CF7C5D" w:rsidRPr="00287574" w:rsidRDefault="00CF7C5D" w:rsidP="00CF7C5D">
      <w:pPr>
        <w:pStyle w:val="Paragraphedeliste"/>
        <w:rPr>
          <w:rFonts w:ascii="Arial" w:hAnsi="Arial" w:cs="Arial"/>
        </w:rPr>
      </w:pPr>
      <w:r w:rsidRPr="00287574">
        <w:rPr>
          <w:rFonts w:ascii="Arial" w:hAnsi="Arial"/>
        </w:rPr>
        <w:t>11 kW pour la première place de parking,</w:t>
      </w:r>
    </w:p>
    <w:p w14:paraId="3D22585D" w14:textId="77777777" w:rsidR="00CF7C5D" w:rsidRPr="00287574" w:rsidRDefault="00CF7C5D" w:rsidP="00CF7C5D">
      <w:pPr>
        <w:pStyle w:val="Paragraphedeliste"/>
        <w:rPr>
          <w:rFonts w:ascii="Arial" w:hAnsi="Arial" w:cs="Arial"/>
        </w:rPr>
      </w:pPr>
      <w:r w:rsidRPr="00287574">
        <w:rPr>
          <w:rFonts w:ascii="Arial" w:hAnsi="Arial"/>
        </w:rPr>
        <w:t>4 kW par place de parking supplémentaire.</w:t>
      </w:r>
    </w:p>
    <w:p w14:paraId="291B0E09" w14:textId="09BEECEF" w:rsidR="00D44D26" w:rsidRPr="00287574" w:rsidRDefault="00654A88" w:rsidP="00CF7C5D">
      <w:pPr>
        <w:rPr>
          <w:rFonts w:cs="Arial"/>
          <w:color w:val="auto"/>
        </w:rPr>
      </w:pPr>
      <w:r w:rsidRPr="00287574">
        <w:rPr>
          <w:color w:val="auto"/>
        </w:rPr>
        <w:t>En raison des exigences différentes pour les bâtiments fonctionnels, une plus grande flexibilité en matière de puissance de recharge de chaque colonne est possible.</w:t>
      </w:r>
    </w:p>
    <w:p w14:paraId="70D006DB" w14:textId="01E26A19" w:rsidR="00CF7C5D" w:rsidRPr="00287574" w:rsidRDefault="000A5482" w:rsidP="00CF7C5D">
      <w:pPr>
        <w:rPr>
          <w:rFonts w:cs="Arial"/>
          <w:color w:val="auto"/>
        </w:rPr>
      </w:pPr>
      <w:r>
        <w:rPr>
          <w:color w:val="auto"/>
        </w:rPr>
        <w:t>C</w:t>
      </w:r>
      <w:r w:rsidRPr="00287574">
        <w:rPr>
          <w:color w:val="auto"/>
        </w:rPr>
        <w:t xml:space="preserve">ompte tenu des facteurs de simultanéité, </w:t>
      </w:r>
      <w:r w:rsidR="009C103C">
        <w:rPr>
          <w:color w:val="auto"/>
        </w:rPr>
        <w:t>l</w:t>
      </w:r>
      <w:r w:rsidR="00CF7C5D" w:rsidRPr="00287574">
        <w:rPr>
          <w:color w:val="auto"/>
        </w:rPr>
        <w:t>a puissance totale de tous les consommateurs (y compris la puissance de charge dédiée à la mobilité électrique) fournie par le raccordement au bâtiment ne doit pas dépasser</w:t>
      </w:r>
      <w:r w:rsidR="00A64E98">
        <w:rPr>
          <w:color w:val="auto"/>
        </w:rPr>
        <w:t xml:space="preserve"> </w:t>
      </w:r>
      <w:r w:rsidR="00CF7C5D" w:rsidRPr="00287574">
        <w:rPr>
          <w:color w:val="auto"/>
        </w:rPr>
        <w:t>la capacité maximale du raccordement du bâtiment (ou du transformateur). Si la capacité de charge requise supplémentaire des points de recharge dépasse la réserve de puissance, le non-respect de cette consigne peut entraîner des pannes (en particulier dans les bâtiments existants) ou des coûts supplémentaires considérables (renforcement / mise à niveau des installations existantes).</w:t>
      </w:r>
    </w:p>
    <w:p w14:paraId="667C72BC" w14:textId="79D32018" w:rsidR="00462818" w:rsidRPr="00287574" w:rsidRDefault="00462818" w:rsidP="00CF7C5D">
      <w:pPr>
        <w:rPr>
          <w:rFonts w:cs="Arial"/>
          <w:b/>
          <w:bCs/>
          <w:color w:val="auto"/>
        </w:rPr>
      </w:pPr>
      <w:r w:rsidRPr="00287574">
        <w:rPr>
          <w:b/>
          <w:bCs/>
          <w:color w:val="auto"/>
        </w:rPr>
        <w:t>En tout état de cause, la décision finale concernant l'a</w:t>
      </w:r>
      <w:r w:rsidR="007C36F6">
        <w:rPr>
          <w:b/>
          <w:bCs/>
          <w:color w:val="auto"/>
        </w:rPr>
        <w:t>utorisation</w:t>
      </w:r>
      <w:r w:rsidRPr="00287574">
        <w:rPr>
          <w:b/>
          <w:bCs/>
          <w:color w:val="auto"/>
        </w:rPr>
        <w:t xml:space="preserve"> de la puissance disponible pour l'infrastructure de recharge des véhicules électriques est entre les mains du gestionnaire de réseau</w:t>
      </w:r>
      <w:r w:rsidR="009C103C">
        <w:rPr>
          <w:b/>
          <w:bCs/>
          <w:color w:val="auto"/>
        </w:rPr>
        <w:t>x</w:t>
      </w:r>
      <w:r w:rsidRPr="00287574">
        <w:rPr>
          <w:b/>
          <w:bCs/>
          <w:color w:val="auto"/>
        </w:rPr>
        <w:t xml:space="preserve"> de distribution concerné.</w:t>
      </w:r>
    </w:p>
    <w:p w14:paraId="77A3E7DB" w14:textId="4CC7AB9F" w:rsidR="00CF7C5D" w:rsidRPr="00287574" w:rsidRDefault="00CF7C5D" w:rsidP="00CF7C5D">
      <w:pPr>
        <w:rPr>
          <w:rFonts w:cs="Arial"/>
          <w:color w:val="auto"/>
        </w:rPr>
      </w:pPr>
      <w:r w:rsidRPr="00287574">
        <w:rPr>
          <w:color w:val="auto"/>
        </w:rPr>
        <w:lastRenderedPageBreak/>
        <w:t>Le tableau suivant donne un aperçu des différentes puissances requises en fonction du lieu de recharge. Il est généralement à noter que la possibilité de charge échelonnée de véhicules avec des courants de charge plus élevés (par ex. 16 A) peut s'avérer avantageuse par rapport à la charge simultanée de véhicules avec un courant de charge plus faible</w:t>
      </w:r>
      <w:r w:rsidR="000A5482">
        <w:rPr>
          <w:color w:val="auto"/>
        </w:rPr>
        <w:t>. D</w:t>
      </w:r>
      <w:r w:rsidR="000A5482" w:rsidRPr="00287574">
        <w:rPr>
          <w:color w:val="auto"/>
        </w:rPr>
        <w:t xml:space="preserve">ans </w:t>
      </w:r>
      <w:r w:rsidRPr="00287574">
        <w:rPr>
          <w:color w:val="auto"/>
        </w:rPr>
        <w:t>ce cas</w:t>
      </w:r>
      <w:r w:rsidR="000A5482">
        <w:rPr>
          <w:color w:val="auto"/>
        </w:rPr>
        <w:t>,</w:t>
      </w:r>
      <w:r w:rsidRPr="00287574">
        <w:rPr>
          <w:color w:val="auto"/>
        </w:rPr>
        <w:t xml:space="preserve"> les véhicules peuvent </w:t>
      </w:r>
      <w:r w:rsidR="000A5482">
        <w:rPr>
          <w:color w:val="auto"/>
        </w:rPr>
        <w:t xml:space="preserve">en effet se </w:t>
      </w:r>
      <w:r w:rsidRPr="00287574">
        <w:rPr>
          <w:color w:val="auto"/>
        </w:rPr>
        <w:t>charger avec un degré d'efficacité plus élevé</w:t>
      </w:r>
      <w:r w:rsidR="000A5482">
        <w:rPr>
          <w:color w:val="auto"/>
        </w:rPr>
        <w:t>,</w:t>
      </w:r>
      <w:r w:rsidRPr="00287574">
        <w:rPr>
          <w:color w:val="auto"/>
        </w:rPr>
        <w:t xml:space="preserve"> </w:t>
      </w:r>
      <w:r w:rsidR="000A5482">
        <w:rPr>
          <w:color w:val="auto"/>
        </w:rPr>
        <w:t>alors que</w:t>
      </w:r>
      <w:r w:rsidRPr="00287574">
        <w:rPr>
          <w:color w:val="auto"/>
        </w:rPr>
        <w:t xml:space="preserve"> les véhicules qui nécessitent un courant de charge minimum plus élevé peuvent </w:t>
      </w:r>
      <w:r w:rsidR="000A5482">
        <w:rPr>
          <w:color w:val="auto"/>
        </w:rPr>
        <w:t>également</w:t>
      </w:r>
      <w:r w:rsidR="000A5482" w:rsidRPr="00287574">
        <w:rPr>
          <w:color w:val="auto"/>
        </w:rPr>
        <w:t xml:space="preserve"> </w:t>
      </w:r>
      <w:r w:rsidRPr="00287574">
        <w:rPr>
          <w:color w:val="auto"/>
        </w:rPr>
        <w:t>être chargés.</w:t>
      </w:r>
    </w:p>
    <w:p w14:paraId="6602B6C4" w14:textId="17481D45" w:rsidR="00CF7C5D" w:rsidRPr="00287574" w:rsidRDefault="00CF7C5D" w:rsidP="00CF7C5D">
      <w:pPr>
        <w:pStyle w:val="Tabelle"/>
        <w:rPr>
          <w:rFonts w:ascii="Arial" w:hAnsi="Arial" w:cs="Arial"/>
          <w:b/>
          <w:bCs/>
          <w:i w:val="0"/>
          <w:iCs/>
          <w:sz w:val="22"/>
          <w:szCs w:val="22"/>
        </w:rPr>
      </w:pPr>
      <w:r w:rsidRPr="00287574">
        <w:rPr>
          <w:rFonts w:ascii="Arial" w:hAnsi="Arial"/>
          <w:b/>
          <w:bCs/>
          <w:i w:val="0"/>
          <w:iCs/>
          <w:sz w:val="22"/>
          <w:szCs w:val="22"/>
        </w:rPr>
        <w:t>Tableau</w:t>
      </w:r>
      <w:r w:rsidRPr="00287574">
        <w:t xml:space="preserve"> </w:t>
      </w:r>
      <w:r w:rsidRPr="00287574">
        <w:rPr>
          <w:rFonts w:ascii="Arial" w:hAnsi="Arial" w:cs="Arial"/>
          <w:b/>
          <w:bCs/>
          <w:i w:val="0"/>
          <w:iCs/>
          <w:sz w:val="22"/>
          <w:szCs w:val="22"/>
        </w:rPr>
        <w:fldChar w:fldCharType="begin"/>
      </w:r>
      <w:r w:rsidRPr="00287574">
        <w:rPr>
          <w:rFonts w:ascii="Arial" w:hAnsi="Arial" w:cs="Arial"/>
          <w:b/>
          <w:bCs/>
          <w:i w:val="0"/>
          <w:iCs/>
          <w:sz w:val="22"/>
          <w:szCs w:val="22"/>
        </w:rPr>
        <w:instrText xml:space="preserve"> SEQ Tabelle \* ARABIC </w:instrText>
      </w:r>
      <w:r w:rsidRPr="00287574">
        <w:rPr>
          <w:rFonts w:ascii="Arial" w:hAnsi="Arial" w:cs="Arial"/>
          <w:b/>
          <w:bCs/>
          <w:i w:val="0"/>
          <w:iCs/>
          <w:sz w:val="22"/>
          <w:szCs w:val="22"/>
        </w:rPr>
        <w:fldChar w:fldCharType="separate"/>
      </w:r>
      <w:r w:rsidR="00287574" w:rsidRPr="00287574">
        <w:rPr>
          <w:rFonts w:ascii="Arial" w:hAnsi="Arial" w:cs="Arial"/>
          <w:b/>
          <w:bCs/>
          <w:i w:val="0"/>
          <w:iCs/>
          <w:sz w:val="22"/>
          <w:szCs w:val="22"/>
        </w:rPr>
        <w:t>2</w:t>
      </w:r>
      <w:r w:rsidRPr="00287574">
        <w:rPr>
          <w:rFonts w:ascii="Arial" w:hAnsi="Arial" w:cs="Arial"/>
          <w:b/>
          <w:bCs/>
          <w:i w:val="0"/>
          <w:iCs/>
          <w:sz w:val="22"/>
          <w:szCs w:val="22"/>
        </w:rPr>
        <w:fldChar w:fldCharType="end"/>
      </w:r>
      <w:r w:rsidRPr="00287574">
        <w:t> </w:t>
      </w:r>
      <w:r w:rsidRPr="00287574">
        <w:rPr>
          <w:rFonts w:ascii="Arial" w:hAnsi="Arial"/>
          <w:b/>
          <w:bCs/>
          <w:i w:val="0"/>
          <w:iCs/>
          <w:sz w:val="22"/>
          <w:szCs w:val="22"/>
        </w:rPr>
        <w:t>: Puissance de charge requise en fonction du lieu de charge</w:t>
      </w:r>
    </w:p>
    <w:tbl>
      <w:tblPr>
        <w:tblStyle w:val="Grilledutableau"/>
        <w:tblW w:w="0" w:type="auto"/>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1683"/>
        <w:gridCol w:w="1604"/>
        <w:gridCol w:w="2025"/>
        <w:gridCol w:w="1900"/>
        <w:gridCol w:w="2569"/>
      </w:tblGrid>
      <w:tr w:rsidR="00CF7C5D" w:rsidRPr="00287574" w14:paraId="22AF1DD7" w14:textId="77777777" w:rsidTr="00035C96">
        <w:tc>
          <w:tcPr>
            <w:tcW w:w="1683" w:type="dxa"/>
            <w:tcBorders>
              <w:top w:val="single" w:sz="12" w:space="0" w:color="auto"/>
              <w:bottom w:val="single" w:sz="12" w:space="0" w:color="auto"/>
            </w:tcBorders>
          </w:tcPr>
          <w:p w14:paraId="112A60F0" w14:textId="77777777" w:rsidR="00CF7C5D" w:rsidRPr="00287574" w:rsidRDefault="00CF7C5D" w:rsidP="004C7296">
            <w:pPr>
              <w:spacing w:before="60" w:after="60"/>
              <w:rPr>
                <w:rFonts w:cs="Arial"/>
                <w:color w:val="auto"/>
              </w:rPr>
            </w:pPr>
            <w:r w:rsidRPr="00287574">
              <w:rPr>
                <w:color w:val="auto"/>
              </w:rPr>
              <w:t>Lieu de charge</w:t>
            </w:r>
          </w:p>
        </w:tc>
        <w:tc>
          <w:tcPr>
            <w:tcW w:w="1604" w:type="dxa"/>
            <w:tcBorders>
              <w:top w:val="single" w:sz="12" w:space="0" w:color="auto"/>
              <w:bottom w:val="single" w:sz="12" w:space="0" w:color="auto"/>
            </w:tcBorders>
          </w:tcPr>
          <w:p w14:paraId="21D58199" w14:textId="77777777" w:rsidR="00CF7C5D" w:rsidRPr="00287574" w:rsidRDefault="00CF7C5D" w:rsidP="004C7296">
            <w:pPr>
              <w:spacing w:before="60" w:after="60"/>
              <w:rPr>
                <w:rFonts w:cs="Arial"/>
                <w:color w:val="auto"/>
              </w:rPr>
            </w:pPr>
            <w:r w:rsidRPr="00287574">
              <w:rPr>
                <w:color w:val="auto"/>
              </w:rPr>
              <w:t>Kilométrage quotidien</w:t>
            </w:r>
          </w:p>
        </w:tc>
        <w:tc>
          <w:tcPr>
            <w:tcW w:w="2025" w:type="dxa"/>
            <w:tcBorders>
              <w:top w:val="single" w:sz="12" w:space="0" w:color="auto"/>
              <w:bottom w:val="single" w:sz="12" w:space="0" w:color="auto"/>
            </w:tcBorders>
          </w:tcPr>
          <w:p w14:paraId="16D99D15" w14:textId="77777777" w:rsidR="00CF7C5D" w:rsidRPr="00287574" w:rsidRDefault="00CF7C5D" w:rsidP="004C7296">
            <w:pPr>
              <w:spacing w:before="60" w:after="60"/>
              <w:rPr>
                <w:rFonts w:cs="Arial"/>
                <w:color w:val="auto"/>
              </w:rPr>
            </w:pPr>
            <w:r w:rsidRPr="00287574">
              <w:rPr>
                <w:color w:val="auto"/>
              </w:rPr>
              <w:t>Temps de charge moyen</w:t>
            </w:r>
          </w:p>
        </w:tc>
        <w:tc>
          <w:tcPr>
            <w:tcW w:w="1900" w:type="dxa"/>
            <w:tcBorders>
              <w:top w:val="single" w:sz="12" w:space="0" w:color="auto"/>
              <w:bottom w:val="single" w:sz="12" w:space="0" w:color="auto"/>
            </w:tcBorders>
          </w:tcPr>
          <w:p w14:paraId="356BE195" w14:textId="77777777" w:rsidR="00CF7C5D" w:rsidRPr="00287574" w:rsidRDefault="00CF7C5D" w:rsidP="004C7296">
            <w:pPr>
              <w:spacing w:before="60" w:after="60"/>
              <w:rPr>
                <w:rFonts w:cs="Arial"/>
                <w:color w:val="auto"/>
              </w:rPr>
            </w:pPr>
            <w:r w:rsidRPr="00287574">
              <w:rPr>
                <w:color w:val="auto"/>
              </w:rPr>
              <w:t>Consommation d'électricité pour 100 km</w:t>
            </w:r>
          </w:p>
        </w:tc>
        <w:tc>
          <w:tcPr>
            <w:tcW w:w="2569" w:type="dxa"/>
            <w:tcBorders>
              <w:top w:val="single" w:sz="12" w:space="0" w:color="auto"/>
              <w:bottom w:val="single" w:sz="12" w:space="0" w:color="auto"/>
            </w:tcBorders>
          </w:tcPr>
          <w:p w14:paraId="06B9D864" w14:textId="660D0364" w:rsidR="00CF7C5D" w:rsidRPr="00287574" w:rsidRDefault="009C103C" w:rsidP="004C7296">
            <w:pPr>
              <w:spacing w:before="60" w:after="60"/>
              <w:rPr>
                <w:rFonts w:cs="Arial"/>
                <w:color w:val="auto"/>
              </w:rPr>
            </w:pPr>
            <w:r>
              <w:rPr>
                <w:color w:val="auto"/>
              </w:rPr>
              <w:t>Puissance</w:t>
            </w:r>
            <w:r w:rsidR="00CF7C5D" w:rsidRPr="00287574">
              <w:rPr>
                <w:color w:val="auto"/>
              </w:rPr>
              <w:t xml:space="preserve"> de charge minimale par véhicule</w:t>
            </w:r>
            <w:r w:rsidR="00CF7C5D" w:rsidRPr="00287574">
              <w:rPr>
                <w:rStyle w:val="Appelnotedebasdep"/>
                <w:rFonts w:cs="Arial"/>
                <w:color w:val="auto"/>
              </w:rPr>
              <w:footnoteReference w:id="6"/>
            </w:r>
          </w:p>
        </w:tc>
      </w:tr>
      <w:tr w:rsidR="007D020A" w:rsidRPr="00287574" w14:paraId="438376D2" w14:textId="77777777" w:rsidTr="00035C96">
        <w:tc>
          <w:tcPr>
            <w:tcW w:w="1683" w:type="dxa"/>
            <w:tcBorders>
              <w:top w:val="single" w:sz="12" w:space="0" w:color="auto"/>
              <w:bottom w:val="single" w:sz="4" w:space="0" w:color="auto"/>
            </w:tcBorders>
          </w:tcPr>
          <w:p w14:paraId="33188CB6" w14:textId="77777777" w:rsidR="00CF7C5D" w:rsidRPr="00287574" w:rsidRDefault="00CF7C5D" w:rsidP="00BB2792">
            <w:pPr>
              <w:spacing w:before="60" w:after="60"/>
              <w:jc w:val="left"/>
              <w:rPr>
                <w:rFonts w:cs="Arial"/>
                <w:color w:val="auto"/>
              </w:rPr>
            </w:pPr>
            <w:r w:rsidRPr="00287574">
              <w:rPr>
                <w:color w:val="auto"/>
              </w:rPr>
              <w:t>Immeuble résidentiel</w:t>
            </w:r>
          </w:p>
        </w:tc>
        <w:tc>
          <w:tcPr>
            <w:tcW w:w="1604" w:type="dxa"/>
            <w:tcBorders>
              <w:top w:val="single" w:sz="12" w:space="0" w:color="auto"/>
              <w:bottom w:val="single" w:sz="4" w:space="0" w:color="auto"/>
            </w:tcBorders>
          </w:tcPr>
          <w:p w14:paraId="4FDAE028" w14:textId="77777777" w:rsidR="00CF7C5D" w:rsidRPr="00287574" w:rsidRDefault="00CF7C5D" w:rsidP="004C7296">
            <w:pPr>
              <w:spacing w:before="60" w:after="60"/>
              <w:rPr>
                <w:rFonts w:cs="Arial"/>
                <w:color w:val="auto"/>
              </w:rPr>
            </w:pPr>
            <w:r w:rsidRPr="00287574">
              <w:rPr>
                <w:color w:val="auto"/>
              </w:rPr>
              <w:t>50 km</w:t>
            </w:r>
          </w:p>
        </w:tc>
        <w:tc>
          <w:tcPr>
            <w:tcW w:w="2025" w:type="dxa"/>
            <w:tcBorders>
              <w:top w:val="single" w:sz="12" w:space="0" w:color="auto"/>
              <w:bottom w:val="single" w:sz="4" w:space="0" w:color="auto"/>
            </w:tcBorders>
          </w:tcPr>
          <w:p w14:paraId="1AD647A9" w14:textId="77777777" w:rsidR="00CF7C5D" w:rsidRPr="00287574" w:rsidRDefault="00CF7C5D" w:rsidP="004C7296">
            <w:pPr>
              <w:spacing w:before="60" w:after="60"/>
              <w:rPr>
                <w:rFonts w:cs="Arial"/>
                <w:color w:val="auto"/>
              </w:rPr>
            </w:pPr>
            <w:r w:rsidRPr="00287574">
              <w:rPr>
                <w:color w:val="auto"/>
              </w:rPr>
              <w:t>7 heures</w:t>
            </w:r>
          </w:p>
        </w:tc>
        <w:tc>
          <w:tcPr>
            <w:tcW w:w="1900" w:type="dxa"/>
            <w:tcBorders>
              <w:top w:val="single" w:sz="12" w:space="0" w:color="auto"/>
              <w:bottom w:val="single" w:sz="4" w:space="0" w:color="auto"/>
            </w:tcBorders>
          </w:tcPr>
          <w:p w14:paraId="2987CBCE" w14:textId="77777777" w:rsidR="00CF7C5D" w:rsidRPr="00287574" w:rsidRDefault="00CF7C5D" w:rsidP="004C7296">
            <w:pPr>
              <w:spacing w:before="60" w:after="60"/>
              <w:rPr>
                <w:rFonts w:cs="Arial"/>
                <w:color w:val="auto"/>
              </w:rPr>
            </w:pPr>
            <w:r w:rsidRPr="00287574">
              <w:rPr>
                <w:color w:val="auto"/>
              </w:rPr>
              <w:t>20 kWh</w:t>
            </w:r>
          </w:p>
        </w:tc>
        <w:tc>
          <w:tcPr>
            <w:tcW w:w="2569" w:type="dxa"/>
            <w:tcBorders>
              <w:top w:val="single" w:sz="12" w:space="0" w:color="auto"/>
              <w:bottom w:val="single" w:sz="4" w:space="0" w:color="auto"/>
            </w:tcBorders>
          </w:tcPr>
          <w:p w14:paraId="59A25428" w14:textId="77777777" w:rsidR="00CF7C5D" w:rsidRPr="00287574" w:rsidRDefault="00CF7C5D" w:rsidP="004C7296">
            <w:pPr>
              <w:spacing w:before="60" w:after="60"/>
              <w:rPr>
                <w:rFonts w:cs="Arial"/>
                <w:color w:val="auto"/>
              </w:rPr>
            </w:pPr>
            <w:r w:rsidRPr="00287574">
              <w:rPr>
                <w:color w:val="auto"/>
              </w:rPr>
              <w:t>1,5 kW</w:t>
            </w:r>
          </w:p>
        </w:tc>
      </w:tr>
      <w:tr w:rsidR="007D020A" w:rsidRPr="00287574" w14:paraId="67AC340B" w14:textId="77777777" w:rsidTr="00035C96">
        <w:tc>
          <w:tcPr>
            <w:tcW w:w="1683" w:type="dxa"/>
            <w:tcBorders>
              <w:top w:val="single" w:sz="4" w:space="0" w:color="auto"/>
              <w:bottom w:val="single" w:sz="4" w:space="0" w:color="auto"/>
            </w:tcBorders>
          </w:tcPr>
          <w:p w14:paraId="25722C89" w14:textId="623285C7" w:rsidR="00CF7C5D" w:rsidRPr="00287574" w:rsidRDefault="00CF7C5D" w:rsidP="00D61233">
            <w:pPr>
              <w:spacing w:before="60" w:after="60"/>
              <w:jc w:val="left"/>
              <w:rPr>
                <w:rFonts w:cs="Arial"/>
                <w:color w:val="auto"/>
              </w:rPr>
            </w:pPr>
            <w:r w:rsidRPr="00287574">
              <w:rPr>
                <w:color w:val="auto"/>
              </w:rPr>
              <w:t>Tertiaire / semi-public</w:t>
            </w:r>
          </w:p>
        </w:tc>
        <w:tc>
          <w:tcPr>
            <w:tcW w:w="1604" w:type="dxa"/>
            <w:tcBorders>
              <w:top w:val="single" w:sz="4" w:space="0" w:color="auto"/>
              <w:bottom w:val="single" w:sz="4" w:space="0" w:color="auto"/>
            </w:tcBorders>
          </w:tcPr>
          <w:p w14:paraId="282339DF" w14:textId="77777777" w:rsidR="00CF7C5D" w:rsidRPr="00287574" w:rsidRDefault="00CF7C5D" w:rsidP="004C7296">
            <w:pPr>
              <w:spacing w:before="60" w:after="60"/>
              <w:rPr>
                <w:rFonts w:cs="Arial"/>
                <w:color w:val="auto"/>
              </w:rPr>
            </w:pPr>
            <w:r w:rsidRPr="00287574">
              <w:rPr>
                <w:color w:val="auto"/>
              </w:rPr>
              <w:t>50 km</w:t>
            </w:r>
          </w:p>
        </w:tc>
        <w:tc>
          <w:tcPr>
            <w:tcW w:w="2025" w:type="dxa"/>
            <w:tcBorders>
              <w:top w:val="single" w:sz="4" w:space="0" w:color="auto"/>
              <w:bottom w:val="single" w:sz="4" w:space="0" w:color="auto"/>
            </w:tcBorders>
          </w:tcPr>
          <w:p w14:paraId="6A6FD908" w14:textId="77777777" w:rsidR="00CF7C5D" w:rsidRPr="00287574" w:rsidRDefault="00CF7C5D" w:rsidP="004C7296">
            <w:pPr>
              <w:spacing w:before="60" w:after="60"/>
              <w:rPr>
                <w:rFonts w:cs="Arial"/>
                <w:color w:val="auto"/>
              </w:rPr>
            </w:pPr>
            <w:r w:rsidRPr="00287574">
              <w:rPr>
                <w:color w:val="auto"/>
              </w:rPr>
              <w:t>1 heure</w:t>
            </w:r>
          </w:p>
        </w:tc>
        <w:tc>
          <w:tcPr>
            <w:tcW w:w="1900" w:type="dxa"/>
            <w:tcBorders>
              <w:top w:val="single" w:sz="4" w:space="0" w:color="auto"/>
              <w:bottom w:val="single" w:sz="4" w:space="0" w:color="auto"/>
            </w:tcBorders>
          </w:tcPr>
          <w:p w14:paraId="5FE5EA83" w14:textId="77777777" w:rsidR="00CF7C5D" w:rsidRPr="00287574" w:rsidRDefault="00CF7C5D" w:rsidP="004C7296">
            <w:pPr>
              <w:spacing w:before="60" w:after="60"/>
              <w:rPr>
                <w:rFonts w:cs="Arial"/>
                <w:color w:val="auto"/>
              </w:rPr>
            </w:pPr>
            <w:r w:rsidRPr="00287574">
              <w:rPr>
                <w:color w:val="auto"/>
              </w:rPr>
              <w:t>20 kWh</w:t>
            </w:r>
          </w:p>
        </w:tc>
        <w:tc>
          <w:tcPr>
            <w:tcW w:w="2569" w:type="dxa"/>
            <w:tcBorders>
              <w:top w:val="single" w:sz="4" w:space="0" w:color="auto"/>
              <w:bottom w:val="single" w:sz="4" w:space="0" w:color="auto"/>
            </w:tcBorders>
          </w:tcPr>
          <w:p w14:paraId="12627EEE" w14:textId="77777777" w:rsidR="00CF7C5D" w:rsidRPr="00287574" w:rsidRDefault="00CF7C5D" w:rsidP="004C7296">
            <w:pPr>
              <w:spacing w:before="60" w:after="60"/>
              <w:rPr>
                <w:rFonts w:cs="Arial"/>
                <w:color w:val="auto"/>
              </w:rPr>
            </w:pPr>
            <w:r w:rsidRPr="00287574">
              <w:rPr>
                <w:color w:val="auto"/>
              </w:rPr>
              <w:t>10 kW</w:t>
            </w:r>
          </w:p>
        </w:tc>
      </w:tr>
      <w:tr w:rsidR="007D020A" w:rsidRPr="00287574" w14:paraId="613C35A7" w14:textId="77777777" w:rsidTr="00035C96">
        <w:tc>
          <w:tcPr>
            <w:tcW w:w="1683" w:type="dxa"/>
            <w:tcBorders>
              <w:top w:val="single" w:sz="4" w:space="0" w:color="auto"/>
            </w:tcBorders>
          </w:tcPr>
          <w:p w14:paraId="5455840E" w14:textId="77777777" w:rsidR="00CF7C5D" w:rsidRPr="00287574" w:rsidRDefault="00CF7C5D" w:rsidP="00BB2792">
            <w:pPr>
              <w:spacing w:before="60" w:after="60"/>
              <w:jc w:val="left"/>
              <w:rPr>
                <w:rFonts w:cs="Arial"/>
                <w:color w:val="auto"/>
              </w:rPr>
            </w:pPr>
            <w:r w:rsidRPr="00287574">
              <w:rPr>
                <w:color w:val="auto"/>
              </w:rPr>
              <w:t>Parking public</w:t>
            </w:r>
          </w:p>
        </w:tc>
        <w:tc>
          <w:tcPr>
            <w:tcW w:w="1604" w:type="dxa"/>
            <w:tcBorders>
              <w:top w:val="single" w:sz="4" w:space="0" w:color="auto"/>
            </w:tcBorders>
            <w:vAlign w:val="center"/>
          </w:tcPr>
          <w:p w14:paraId="6FB7E2CD" w14:textId="77777777" w:rsidR="00CF7C5D" w:rsidRPr="00287574" w:rsidRDefault="00CF7C5D" w:rsidP="004C7296">
            <w:pPr>
              <w:spacing w:before="60" w:after="60"/>
              <w:rPr>
                <w:rFonts w:cs="Arial"/>
                <w:color w:val="auto"/>
              </w:rPr>
            </w:pPr>
            <w:r w:rsidRPr="00287574">
              <w:rPr>
                <w:color w:val="auto"/>
              </w:rPr>
              <w:t>50 km</w:t>
            </w:r>
          </w:p>
        </w:tc>
        <w:tc>
          <w:tcPr>
            <w:tcW w:w="2025" w:type="dxa"/>
            <w:tcBorders>
              <w:top w:val="single" w:sz="4" w:space="0" w:color="auto"/>
            </w:tcBorders>
            <w:vAlign w:val="center"/>
          </w:tcPr>
          <w:p w14:paraId="7C84CAE1" w14:textId="77777777" w:rsidR="00CF7C5D" w:rsidRPr="00287574" w:rsidRDefault="00CF7C5D" w:rsidP="004C7296">
            <w:pPr>
              <w:spacing w:before="60" w:after="60"/>
              <w:rPr>
                <w:rFonts w:cs="Arial"/>
                <w:color w:val="auto"/>
              </w:rPr>
            </w:pPr>
            <w:r w:rsidRPr="00287574">
              <w:rPr>
                <w:color w:val="auto"/>
              </w:rPr>
              <w:t>2 heures</w:t>
            </w:r>
          </w:p>
        </w:tc>
        <w:tc>
          <w:tcPr>
            <w:tcW w:w="1900" w:type="dxa"/>
            <w:tcBorders>
              <w:top w:val="single" w:sz="4" w:space="0" w:color="auto"/>
            </w:tcBorders>
            <w:vAlign w:val="center"/>
          </w:tcPr>
          <w:p w14:paraId="0D68160C" w14:textId="77777777" w:rsidR="00CF7C5D" w:rsidRPr="00287574" w:rsidRDefault="00CF7C5D" w:rsidP="004C7296">
            <w:pPr>
              <w:spacing w:before="60" w:after="60"/>
              <w:rPr>
                <w:rFonts w:cs="Arial"/>
                <w:color w:val="auto"/>
              </w:rPr>
            </w:pPr>
            <w:r w:rsidRPr="00287574">
              <w:rPr>
                <w:color w:val="auto"/>
              </w:rPr>
              <w:t>20 kWh</w:t>
            </w:r>
          </w:p>
        </w:tc>
        <w:tc>
          <w:tcPr>
            <w:tcW w:w="2569" w:type="dxa"/>
            <w:tcBorders>
              <w:top w:val="single" w:sz="4" w:space="0" w:color="auto"/>
            </w:tcBorders>
            <w:vAlign w:val="center"/>
          </w:tcPr>
          <w:p w14:paraId="6D228B05" w14:textId="77777777" w:rsidR="00CF7C5D" w:rsidRPr="00287574" w:rsidRDefault="00CF7C5D" w:rsidP="004C7296">
            <w:pPr>
              <w:spacing w:before="60" w:after="60"/>
              <w:rPr>
                <w:rFonts w:cs="Arial"/>
                <w:color w:val="auto"/>
              </w:rPr>
            </w:pPr>
            <w:r w:rsidRPr="00287574">
              <w:rPr>
                <w:color w:val="auto"/>
              </w:rPr>
              <w:t>5 kW</w:t>
            </w:r>
          </w:p>
        </w:tc>
      </w:tr>
      <w:tr w:rsidR="007D020A" w:rsidRPr="00287574" w14:paraId="3D735C21" w14:textId="77777777" w:rsidTr="00035C96">
        <w:tc>
          <w:tcPr>
            <w:tcW w:w="1683" w:type="dxa"/>
          </w:tcPr>
          <w:p w14:paraId="5DE324CD" w14:textId="74AD1CB4" w:rsidR="00CF7C5D" w:rsidRPr="00287574" w:rsidRDefault="00CF7C5D" w:rsidP="00D61233">
            <w:pPr>
              <w:spacing w:before="60" w:after="60"/>
              <w:jc w:val="left"/>
              <w:rPr>
                <w:rFonts w:cs="Arial"/>
                <w:color w:val="auto"/>
              </w:rPr>
            </w:pPr>
            <w:r w:rsidRPr="00287574">
              <w:rPr>
                <w:color w:val="auto"/>
              </w:rPr>
              <w:t>P&amp;R / employeur</w:t>
            </w:r>
          </w:p>
        </w:tc>
        <w:tc>
          <w:tcPr>
            <w:tcW w:w="1604" w:type="dxa"/>
          </w:tcPr>
          <w:p w14:paraId="6E07C435" w14:textId="77777777" w:rsidR="00CF7C5D" w:rsidRPr="00287574" w:rsidRDefault="00CF7C5D" w:rsidP="004C7296">
            <w:pPr>
              <w:spacing w:before="60" w:after="60"/>
              <w:rPr>
                <w:rFonts w:cs="Arial"/>
                <w:color w:val="auto"/>
              </w:rPr>
            </w:pPr>
            <w:r w:rsidRPr="00287574">
              <w:rPr>
                <w:color w:val="auto"/>
              </w:rPr>
              <w:t>100 km</w:t>
            </w:r>
          </w:p>
        </w:tc>
        <w:tc>
          <w:tcPr>
            <w:tcW w:w="2025" w:type="dxa"/>
          </w:tcPr>
          <w:p w14:paraId="3AFF0922" w14:textId="77777777" w:rsidR="00CF7C5D" w:rsidRPr="00287574" w:rsidRDefault="00CF7C5D" w:rsidP="004C7296">
            <w:pPr>
              <w:spacing w:before="60" w:after="60"/>
              <w:rPr>
                <w:rFonts w:cs="Arial"/>
                <w:color w:val="auto"/>
              </w:rPr>
            </w:pPr>
            <w:r w:rsidRPr="00287574">
              <w:rPr>
                <w:color w:val="auto"/>
              </w:rPr>
              <w:t>10 heures</w:t>
            </w:r>
          </w:p>
        </w:tc>
        <w:tc>
          <w:tcPr>
            <w:tcW w:w="1900" w:type="dxa"/>
          </w:tcPr>
          <w:p w14:paraId="650E3C22" w14:textId="77777777" w:rsidR="00CF7C5D" w:rsidRPr="00287574" w:rsidRDefault="00CF7C5D" w:rsidP="004C7296">
            <w:pPr>
              <w:spacing w:before="60" w:after="60"/>
              <w:rPr>
                <w:rFonts w:cs="Arial"/>
                <w:color w:val="auto"/>
              </w:rPr>
            </w:pPr>
            <w:r w:rsidRPr="00287574">
              <w:rPr>
                <w:color w:val="auto"/>
              </w:rPr>
              <w:t>20 kWh</w:t>
            </w:r>
          </w:p>
        </w:tc>
        <w:tc>
          <w:tcPr>
            <w:tcW w:w="2569" w:type="dxa"/>
          </w:tcPr>
          <w:p w14:paraId="6E25DBEF" w14:textId="77777777" w:rsidR="00CF7C5D" w:rsidRPr="00287574" w:rsidRDefault="00CF7C5D" w:rsidP="004C7296">
            <w:pPr>
              <w:spacing w:before="60" w:after="60"/>
              <w:rPr>
                <w:rFonts w:cs="Arial"/>
                <w:color w:val="auto"/>
              </w:rPr>
            </w:pPr>
            <w:r w:rsidRPr="00287574">
              <w:rPr>
                <w:color w:val="auto"/>
              </w:rPr>
              <w:t>2 kW</w:t>
            </w:r>
          </w:p>
        </w:tc>
      </w:tr>
    </w:tbl>
    <w:p w14:paraId="0DA24505" w14:textId="77777777" w:rsidR="00CF7C5D" w:rsidRPr="00287574" w:rsidRDefault="00CF7C5D" w:rsidP="00CF7C5D">
      <w:pPr>
        <w:rPr>
          <w:rFonts w:cs="Arial"/>
          <w:color w:val="auto"/>
        </w:rPr>
      </w:pPr>
    </w:p>
    <w:p w14:paraId="253E7AEE" w14:textId="709881EF" w:rsidR="00CF7C5D" w:rsidRPr="00287574" w:rsidRDefault="00FA091B" w:rsidP="00334846">
      <w:pPr>
        <w:pStyle w:val="Titre2"/>
      </w:pPr>
      <w:bookmarkStart w:id="47" w:name="_Toc22731549"/>
      <w:bookmarkStart w:id="48" w:name="_Toc37844163"/>
      <w:bookmarkStart w:id="49" w:name="_Toc40432338"/>
      <w:r>
        <w:t>Variantes</w:t>
      </w:r>
      <w:r w:rsidR="00CF7C5D" w:rsidRPr="00287574">
        <w:t xml:space="preserve"> de raccordement de l'infrastructure de recharge</w:t>
      </w:r>
      <w:bookmarkEnd w:id="47"/>
      <w:bookmarkEnd w:id="48"/>
      <w:bookmarkEnd w:id="49"/>
    </w:p>
    <w:p w14:paraId="68FEB315" w14:textId="7F8AF51D" w:rsidR="00CF7C5D" w:rsidRPr="00287574" w:rsidRDefault="00CF7C5D" w:rsidP="00CF7C5D">
      <w:pPr>
        <w:rPr>
          <w:rFonts w:cs="Arial"/>
          <w:color w:val="auto"/>
        </w:rPr>
      </w:pPr>
      <w:r w:rsidRPr="00287574">
        <w:rPr>
          <w:color w:val="auto"/>
        </w:rPr>
        <w:t xml:space="preserve">Il existe en principe deux </w:t>
      </w:r>
      <w:r w:rsidR="00FA091B">
        <w:rPr>
          <w:color w:val="auto"/>
        </w:rPr>
        <w:t xml:space="preserve">variantes </w:t>
      </w:r>
      <w:r w:rsidRPr="00287574">
        <w:rPr>
          <w:color w:val="auto"/>
        </w:rPr>
        <w:t xml:space="preserve">de raccordement distinctes. Ces deux variantes sont décrites ci-dessous et leurs avantages et inconvénients sont </w:t>
      </w:r>
      <w:r w:rsidR="00A64E98">
        <w:rPr>
          <w:color w:val="auto"/>
        </w:rPr>
        <w:t>présentés</w:t>
      </w:r>
      <w:r w:rsidRPr="00287574">
        <w:rPr>
          <w:color w:val="auto"/>
        </w:rPr>
        <w:t>. Selon le type et la taille du bâtiment, l'une ou l'autre variante peut s'avérer comme étant plus économique et/ou techniquement plus facile à mettre en œuvre.</w:t>
      </w:r>
    </w:p>
    <w:p w14:paraId="0E29166E" w14:textId="34785281" w:rsidR="00CF7C5D" w:rsidRPr="00287574" w:rsidRDefault="002A5CEB" w:rsidP="00955C85">
      <w:pPr>
        <w:pStyle w:val="Titre3"/>
      </w:pPr>
      <w:bookmarkStart w:id="50" w:name="_Toc37844164"/>
      <w:bookmarkStart w:id="51" w:name="_Toc40432339"/>
      <w:r w:rsidRPr="00287574">
        <w:lastRenderedPageBreak/>
        <w:t>Variante A : Raccordement au compteur affecté à l'utilisateur</w:t>
      </w:r>
      <w:bookmarkEnd w:id="50"/>
      <w:bookmarkEnd w:id="51"/>
    </w:p>
    <w:p w14:paraId="6B4AA414" w14:textId="1C480A05" w:rsidR="00D44EFA" w:rsidRPr="00287574" w:rsidRDefault="00B3783A" w:rsidP="00CF7C5D">
      <w:pPr>
        <w:rPr>
          <w:rFonts w:cs="Arial"/>
          <w:color w:val="auto"/>
        </w:rPr>
      </w:pPr>
      <w:r w:rsidRPr="00287574">
        <w:rPr>
          <w:noProof/>
          <w:color w:val="auto"/>
          <w:lang w:eastAsia="en-US"/>
        </w:rPr>
        <w:drawing>
          <wp:anchor distT="0" distB="0" distL="114300" distR="114300" simplePos="0" relativeHeight="251667456" behindDoc="1" locked="0" layoutInCell="1" allowOverlap="1" wp14:anchorId="60EC9EC1" wp14:editId="1A8A54CA">
            <wp:simplePos x="0" y="0"/>
            <wp:positionH relativeFrom="column">
              <wp:posOffset>3175</wp:posOffset>
            </wp:positionH>
            <wp:positionV relativeFrom="paragraph">
              <wp:posOffset>66785</wp:posOffset>
            </wp:positionV>
            <wp:extent cx="2720975" cy="2973705"/>
            <wp:effectExtent l="0" t="0" r="3175" b="0"/>
            <wp:wrapTight wrapText="bothSides">
              <wp:wrapPolygon edited="0">
                <wp:start x="0" y="0"/>
                <wp:lineTo x="0" y="21448"/>
                <wp:lineTo x="21474" y="21448"/>
                <wp:lineTo x="21474"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0975" cy="2973705"/>
                    </a:xfrm>
                    <a:prstGeom prst="rect">
                      <a:avLst/>
                    </a:prstGeom>
                    <a:noFill/>
                  </pic:spPr>
                </pic:pic>
              </a:graphicData>
            </a:graphic>
          </wp:anchor>
        </w:drawing>
      </w:r>
      <w:r w:rsidRPr="00287574">
        <w:rPr>
          <w:color w:val="auto"/>
        </w:rPr>
        <w:t xml:space="preserve">Dans certaines conditions, il est possible de raccorder une station de recharge </w:t>
      </w:r>
      <w:r w:rsidR="001E5DC1">
        <w:rPr>
          <w:color w:val="auto"/>
        </w:rPr>
        <w:t>en aval du</w:t>
      </w:r>
      <w:r w:rsidRPr="00287574">
        <w:rPr>
          <w:color w:val="auto"/>
        </w:rPr>
        <w:t xml:space="preserve"> compteur du propriétaire concerné (par ex., « Boîtier mural P2 » et « Boîtier mural P3 » sur l'illustration). Pour chaque point de charge, un câble doit être posé entre l'armoire de distribution centrale et la place de parking à alimenter. Le relevé et la facturation de la quantité d'énergie utilisée pour recharger la voiture électrique se font via le compteur privé.</w:t>
      </w:r>
    </w:p>
    <w:p w14:paraId="7D8AC0F4" w14:textId="55429376" w:rsidR="002077EE" w:rsidRPr="00287574" w:rsidRDefault="00CF7C5D" w:rsidP="00CF7C5D">
      <w:pPr>
        <w:rPr>
          <w:rFonts w:cs="Arial"/>
          <w:color w:val="auto"/>
        </w:rPr>
      </w:pPr>
      <w:r w:rsidRPr="00287574">
        <w:rPr>
          <w:color w:val="auto"/>
        </w:rPr>
        <w:t xml:space="preserve">Cette variante convient aux places de stationnement attribuées de manière fixe. Dans les bâtiments existants, </w:t>
      </w:r>
      <w:r w:rsidR="001E5DC1">
        <w:rPr>
          <w:color w:val="auto"/>
        </w:rPr>
        <w:t>elle</w:t>
      </w:r>
      <w:r w:rsidRPr="00287574">
        <w:rPr>
          <w:color w:val="auto"/>
        </w:rPr>
        <w:t xml:space="preserve"> est particulièrement adaptée en raison des obstacles réduits et de l'effort moindre pour les novices en matière d'électromobilité. Cette « solution </w:t>
      </w:r>
      <w:r w:rsidR="00B85E1A">
        <w:rPr>
          <w:color w:val="auto"/>
        </w:rPr>
        <w:t>individuelle</w:t>
      </w:r>
      <w:r w:rsidRPr="00287574">
        <w:rPr>
          <w:color w:val="auto"/>
        </w:rPr>
        <w:t> » doit être notamment choisie s'il n'est pas prévu que le nombre d'utilisateurs augmente, ce qui justifierait le développement d'une « solution intégrale ». Cette variante constitue également une solution si, par exemple, le propriétaire ne dispose que d'une seule place de parking dans l'immeuble résidentiel ou s'il y a une demande d'un immeuble ou d'une copropriété pour installer une ou plusieurs colonnes de recharge communes (par ex. « Boîtier mural P4/P5 »).</w:t>
      </w:r>
    </w:p>
    <w:p w14:paraId="43CBAFB4" w14:textId="4657D518" w:rsidR="002077EE" w:rsidRPr="00287574" w:rsidRDefault="002077EE" w:rsidP="00CF7C5D">
      <w:pPr>
        <w:rPr>
          <w:rFonts w:cs="Arial"/>
          <w:color w:val="auto"/>
        </w:rPr>
      </w:pPr>
      <w:r w:rsidRPr="00287574">
        <w:rPr>
          <w:color w:val="auto"/>
        </w:rPr>
        <w:t xml:space="preserve">Si l'utilisateur de l'infrastructure de charge entretient déjà une relation commerciale avec le GRD pour un appartement dans l'immeuble résidentiel concerné, alors l'infrastructure de charge doit généralement être raccordée </w:t>
      </w:r>
      <w:r w:rsidR="001E5DC1">
        <w:rPr>
          <w:color w:val="auto"/>
        </w:rPr>
        <w:t>au</w:t>
      </w:r>
      <w:r w:rsidRPr="00287574">
        <w:rPr>
          <w:color w:val="auto"/>
        </w:rPr>
        <w:t xml:space="preserve"> compteur existant de l'appartement concerné. Si nécessaire, une augmentation de la puissance doit être demandée au point de raccordement existant (par ex. de 40 A à 50 A).</w:t>
      </w:r>
    </w:p>
    <w:p w14:paraId="50248326" w14:textId="5104FF13" w:rsidR="002077EE" w:rsidRPr="00287574" w:rsidRDefault="00731697" w:rsidP="00CF7C5D">
      <w:pPr>
        <w:rPr>
          <w:rFonts w:cs="Arial"/>
          <w:color w:val="auto"/>
        </w:rPr>
      </w:pPr>
      <w:r w:rsidRPr="00731697">
        <w:rPr>
          <w:color w:val="auto"/>
        </w:rPr>
        <w:t xml:space="preserve">Au cas où le montage d’un compteur séparé est requis, par exemple pour des raisons tarifaires en vue du raccordement d’une borne de charge pour véhicules électriques, cette opération doit être </w:t>
      </w:r>
      <w:r w:rsidR="002077EE" w:rsidRPr="00287574">
        <w:rPr>
          <w:color w:val="auto"/>
        </w:rPr>
        <w:t xml:space="preserve">réalisée conformément à l'illustration 1) (par ex. « Boîtier mural P1 ») (représentation schématique, source : </w:t>
      </w:r>
      <w:r w:rsidR="00EB4859">
        <w:rPr>
          <w:color w:val="auto"/>
        </w:rPr>
        <w:t xml:space="preserve">Prescriptions </w:t>
      </w:r>
      <w:r w:rsidR="002077EE" w:rsidRPr="00287574">
        <w:rPr>
          <w:color w:val="auto"/>
        </w:rPr>
        <w:t xml:space="preserve">de raccordement pour les installations à </w:t>
      </w:r>
      <w:r w:rsidR="00563346">
        <w:rPr>
          <w:color w:val="auto"/>
        </w:rPr>
        <w:t>courant fort</w:t>
      </w:r>
      <w:r w:rsidR="002077EE" w:rsidRPr="00287574">
        <w:rPr>
          <w:color w:val="auto"/>
        </w:rPr>
        <w:t xml:space="preserve"> avec tension nominale jusqu'à 1 000 V au sein du Grand-Duché de Luxembourg).</w:t>
      </w:r>
    </w:p>
    <w:p w14:paraId="29EF53CE" w14:textId="77777777" w:rsidR="00CF7C5D" w:rsidRPr="00287574" w:rsidRDefault="00CF7C5D" w:rsidP="00CF7C5D">
      <w:pPr>
        <w:rPr>
          <w:rFonts w:cs="Arial"/>
          <w:color w:val="auto"/>
        </w:rPr>
      </w:pPr>
      <w:r w:rsidRPr="00287574">
        <w:rPr>
          <w:color w:val="auto"/>
        </w:rPr>
        <w:t>Avantages :</w:t>
      </w:r>
    </w:p>
    <w:p w14:paraId="5D6ED722" w14:textId="0A76F9CD" w:rsidR="00CF7C5D" w:rsidRPr="00287574" w:rsidRDefault="00CF7C5D" w:rsidP="00CF7C5D">
      <w:pPr>
        <w:pStyle w:val="Paragraphedeliste"/>
        <w:rPr>
          <w:rFonts w:ascii="Arial" w:hAnsi="Arial" w:cs="Arial"/>
        </w:rPr>
      </w:pPr>
      <w:r w:rsidRPr="00287574">
        <w:rPr>
          <w:rFonts w:ascii="Arial" w:hAnsi="Arial"/>
        </w:rPr>
        <w:t>Pas de point de comptage supplémentaire requis (prévention des coûts et frais d'utilisation) pour la station de recharge (sauf dans le cas de l'exemple « Boîtier mural P1 »)</w:t>
      </w:r>
    </w:p>
    <w:p w14:paraId="00401044" w14:textId="1159D69D" w:rsidR="00CF7C5D" w:rsidRPr="00287574" w:rsidRDefault="00CF7C5D" w:rsidP="00CF7C5D">
      <w:pPr>
        <w:pStyle w:val="Paragraphedeliste"/>
        <w:rPr>
          <w:rFonts w:ascii="Arial" w:hAnsi="Arial" w:cs="Arial"/>
        </w:rPr>
      </w:pPr>
      <w:r w:rsidRPr="00287574">
        <w:rPr>
          <w:rFonts w:ascii="Arial" w:hAnsi="Arial"/>
        </w:rPr>
        <w:t>La facturation de l'énergie électrique achetée via le compteur domestique est ainsi très précise</w:t>
      </w:r>
    </w:p>
    <w:p w14:paraId="34BCBD2C" w14:textId="77777777" w:rsidR="00CF7C5D" w:rsidRPr="00287574" w:rsidRDefault="00CF7C5D" w:rsidP="00CF7C5D">
      <w:pPr>
        <w:pStyle w:val="Paragraphedeliste"/>
        <w:rPr>
          <w:rFonts w:ascii="Arial" w:hAnsi="Arial" w:cs="Arial"/>
        </w:rPr>
      </w:pPr>
      <w:r w:rsidRPr="00287574">
        <w:rPr>
          <w:rFonts w:ascii="Arial" w:hAnsi="Arial"/>
        </w:rPr>
        <w:t>Pas de travail supplémentaire pour les gestionnaires d'immeubles (chaque résident est facturé via son compteur)</w:t>
      </w:r>
    </w:p>
    <w:p w14:paraId="47B20ADD" w14:textId="72D17DC1" w:rsidR="00CF7C5D" w:rsidRPr="00287574" w:rsidRDefault="00CF7C5D" w:rsidP="00CF7C5D">
      <w:pPr>
        <w:pStyle w:val="Paragraphedeliste"/>
        <w:rPr>
          <w:rFonts w:ascii="Arial" w:hAnsi="Arial" w:cs="Arial"/>
        </w:rPr>
      </w:pPr>
      <w:r w:rsidRPr="00287574">
        <w:rPr>
          <w:rFonts w:ascii="Arial" w:hAnsi="Arial"/>
        </w:rPr>
        <w:t>La « recharge intelligente » est possible et recommandée ; pour les boîtiers muraux privés, cette fonctionnalité devra être ajoutée.</w:t>
      </w:r>
    </w:p>
    <w:p w14:paraId="02783001" w14:textId="77777777" w:rsidR="00CF7C5D" w:rsidRPr="00287574" w:rsidRDefault="00CF7C5D" w:rsidP="00CF7C5D">
      <w:pPr>
        <w:rPr>
          <w:rFonts w:cs="Arial"/>
          <w:color w:val="auto"/>
        </w:rPr>
      </w:pPr>
      <w:r w:rsidRPr="00287574">
        <w:rPr>
          <w:color w:val="auto"/>
        </w:rPr>
        <w:t>Inconvénients :</w:t>
      </w:r>
    </w:p>
    <w:p w14:paraId="57D6498A" w14:textId="13473872" w:rsidR="00CF7C5D" w:rsidRPr="00287574" w:rsidRDefault="00CF7C5D" w:rsidP="00CF7C5D">
      <w:pPr>
        <w:pStyle w:val="Paragraphedeliste"/>
        <w:rPr>
          <w:rFonts w:ascii="Arial" w:hAnsi="Arial" w:cs="Arial"/>
        </w:rPr>
      </w:pPr>
      <w:r w:rsidRPr="00287574">
        <w:rPr>
          <w:rFonts w:ascii="Arial" w:hAnsi="Arial"/>
        </w:rPr>
        <w:lastRenderedPageBreak/>
        <w:t xml:space="preserve">L'armoire des compteurs doit </w:t>
      </w:r>
      <w:r w:rsidR="00594AE0">
        <w:rPr>
          <w:rFonts w:ascii="Arial" w:hAnsi="Arial"/>
        </w:rPr>
        <w:t>se</w:t>
      </w:r>
      <w:r w:rsidRPr="00287574">
        <w:rPr>
          <w:rFonts w:ascii="Arial" w:hAnsi="Arial"/>
        </w:rPr>
        <w:t xml:space="preserve"> </w:t>
      </w:r>
      <w:r w:rsidR="006F62F7">
        <w:rPr>
          <w:rFonts w:ascii="Arial" w:hAnsi="Arial"/>
        </w:rPr>
        <w:t>trouv</w:t>
      </w:r>
      <w:r w:rsidR="007737D4" w:rsidRPr="00E85F7B">
        <w:rPr>
          <w:rFonts w:ascii="Arial" w:hAnsi="Arial"/>
        </w:rPr>
        <w:t>er</w:t>
      </w:r>
      <w:r w:rsidR="006F62F7">
        <w:rPr>
          <w:rFonts w:ascii="Arial" w:hAnsi="Arial"/>
        </w:rPr>
        <w:t xml:space="preserve"> dans une partie commune </w:t>
      </w:r>
      <w:r w:rsidRPr="00287574">
        <w:rPr>
          <w:rFonts w:ascii="Arial" w:hAnsi="Arial"/>
        </w:rPr>
        <w:t xml:space="preserve">et </w:t>
      </w:r>
      <w:r w:rsidR="006F62F7">
        <w:rPr>
          <w:rFonts w:ascii="Arial" w:hAnsi="Arial"/>
        </w:rPr>
        <w:t xml:space="preserve">à une distance mesurable </w:t>
      </w:r>
      <w:r w:rsidRPr="00287574">
        <w:rPr>
          <w:rFonts w:ascii="Arial" w:hAnsi="Arial"/>
        </w:rPr>
        <w:t>de la station de recharge</w:t>
      </w:r>
    </w:p>
    <w:p w14:paraId="52D00F4C" w14:textId="69FBAE71" w:rsidR="00CF7C5D" w:rsidRPr="00287574" w:rsidRDefault="00CF7C5D" w:rsidP="00CF7C5D">
      <w:pPr>
        <w:pStyle w:val="Paragraphedeliste"/>
        <w:rPr>
          <w:rFonts w:ascii="Arial" w:hAnsi="Arial" w:cs="Arial"/>
        </w:rPr>
      </w:pPr>
      <w:r w:rsidRPr="00287574">
        <w:rPr>
          <w:rFonts w:ascii="Arial" w:hAnsi="Arial"/>
        </w:rPr>
        <w:t>Les options de régulation dynamique sont limitées à un maximum de 11 kW en fonction de la puissance de raccordement d'un ménage, en tenant compte de la puissance totale disponible et approuvée du bâtiment pour l'électromobilité.</w:t>
      </w:r>
    </w:p>
    <w:p w14:paraId="12E7B120" w14:textId="64683973" w:rsidR="00CF7C5D" w:rsidRPr="00287574" w:rsidRDefault="00CF7C5D" w:rsidP="00CF7C5D">
      <w:pPr>
        <w:pStyle w:val="Paragraphedeliste"/>
        <w:rPr>
          <w:rFonts w:ascii="Arial" w:hAnsi="Arial" w:cs="Arial"/>
        </w:rPr>
      </w:pPr>
      <w:r w:rsidRPr="00287574">
        <w:rPr>
          <w:rFonts w:ascii="Arial" w:hAnsi="Arial"/>
        </w:rPr>
        <w:t>Espace plus important requis dans l'armoire du compteur,</w:t>
      </w:r>
      <w:r w:rsidR="00E65651">
        <w:rPr>
          <w:rFonts w:ascii="Arial" w:hAnsi="Arial"/>
        </w:rPr>
        <w:t xml:space="preserve"> ou pose d’</w:t>
      </w:r>
      <w:r w:rsidRPr="00287574">
        <w:rPr>
          <w:rFonts w:ascii="Arial" w:hAnsi="Arial"/>
        </w:rPr>
        <w:t>une armoire supplémentaire pouvant être nécessaire pour accueillir les disjoncteurs à courant de défaut et les coupe-circuits</w:t>
      </w:r>
    </w:p>
    <w:p w14:paraId="5D82DC49" w14:textId="2AD9296D" w:rsidR="00CF7C5D" w:rsidRPr="00287574" w:rsidRDefault="00D75723" w:rsidP="00CF7C5D">
      <w:pPr>
        <w:pStyle w:val="Paragraphedeliste"/>
        <w:rPr>
          <w:rFonts w:ascii="Arial" w:hAnsi="Arial" w:cs="Arial"/>
        </w:rPr>
      </w:pPr>
      <w:r w:rsidRPr="00287574">
        <w:rPr>
          <w:rFonts w:ascii="Arial" w:hAnsi="Arial"/>
        </w:rPr>
        <w:t>Le cas échéant, puissance de raccordement requise plus élevée (effort administratif et coûts supplémentaires en cas d'accord du GRD)</w:t>
      </w:r>
    </w:p>
    <w:p w14:paraId="130133E9" w14:textId="77777777" w:rsidR="00CF7C5D" w:rsidRPr="00287574" w:rsidRDefault="00CF7C5D" w:rsidP="00CF7C5D">
      <w:pPr>
        <w:rPr>
          <w:rFonts w:cs="Arial"/>
          <w:color w:val="auto"/>
        </w:rPr>
      </w:pPr>
      <w:r w:rsidRPr="00287574">
        <w:rPr>
          <w:color w:val="auto"/>
        </w:rPr>
        <w:t>Exécution :</w:t>
      </w:r>
    </w:p>
    <w:p w14:paraId="30312C04" w14:textId="77966026" w:rsidR="00CF7C5D" w:rsidRPr="00287574" w:rsidRDefault="00CF7C5D" w:rsidP="00CF7C5D">
      <w:pPr>
        <w:pStyle w:val="Paragraphedeliste"/>
        <w:rPr>
          <w:rFonts w:ascii="Arial" w:hAnsi="Arial" w:cs="Arial"/>
        </w:rPr>
      </w:pPr>
      <w:r w:rsidRPr="00287574">
        <w:rPr>
          <w:rFonts w:ascii="Arial" w:hAnsi="Arial"/>
        </w:rPr>
        <w:t>Circuit distinct en version triphasée, 5 fils, du TGBT au point de recharge, conformément au courant maximal approuvé par le GRD</w:t>
      </w:r>
      <w:r w:rsidR="00EE205B">
        <w:rPr>
          <w:rFonts w:ascii="Arial" w:hAnsi="Arial"/>
        </w:rPr>
        <w:t>.</w:t>
      </w:r>
    </w:p>
    <w:p w14:paraId="69725C09" w14:textId="5EF385F1" w:rsidR="00CF7C5D" w:rsidRPr="00E65651" w:rsidRDefault="00CF7C5D" w:rsidP="00CF7C5D">
      <w:pPr>
        <w:pStyle w:val="Paragraphedeliste"/>
        <w:rPr>
          <w:rFonts w:ascii="Arial" w:hAnsi="Arial" w:cs="Arial"/>
        </w:rPr>
      </w:pPr>
      <w:r w:rsidRPr="00287574">
        <w:rPr>
          <w:rFonts w:ascii="Arial" w:hAnsi="Arial"/>
        </w:rPr>
        <w:t xml:space="preserve">Protection distincte comprenant une protection RCD de type B ou de type A/EV dans le TGBT si la station de recharge n'est pas équipée d'une protection RCD, qui détecte également les courants de défaut continus. (Voir Tableau 4 : Exigences relatives aux disjoncteurs à </w:t>
      </w:r>
      <w:r w:rsidRPr="00E65651">
        <w:rPr>
          <w:rFonts w:ascii="Arial" w:hAnsi="Arial"/>
        </w:rPr>
        <w:t>courant de défaut)</w:t>
      </w:r>
      <w:r w:rsidR="00EE205B" w:rsidRPr="00E65651">
        <w:rPr>
          <w:rFonts w:ascii="Arial" w:hAnsi="Arial"/>
        </w:rPr>
        <w:t>.</w:t>
      </w:r>
    </w:p>
    <w:p w14:paraId="6341A327" w14:textId="401EC743" w:rsidR="00CF7C5D" w:rsidRPr="00287574" w:rsidRDefault="00CF7C5D" w:rsidP="00CF7C5D">
      <w:pPr>
        <w:pStyle w:val="Paragraphedeliste"/>
        <w:rPr>
          <w:rFonts w:ascii="Arial" w:hAnsi="Arial" w:cs="Arial"/>
        </w:rPr>
      </w:pPr>
      <w:r w:rsidRPr="00287574">
        <w:rPr>
          <w:rFonts w:ascii="Arial" w:hAnsi="Arial"/>
        </w:rPr>
        <w:t xml:space="preserve">Câblage pour la communication avec les compteurs intelligents </w:t>
      </w:r>
      <w:r w:rsidR="00E65651">
        <w:rPr>
          <w:rFonts w:ascii="Arial" w:hAnsi="Arial"/>
        </w:rPr>
        <w:t xml:space="preserve">obligatoire à partir </w:t>
      </w:r>
      <w:r w:rsidRPr="00287574">
        <w:rPr>
          <w:rFonts w:ascii="Arial" w:hAnsi="Arial"/>
        </w:rPr>
        <w:t>d'une puissance de charge de 7 kW</w:t>
      </w:r>
      <w:r w:rsidR="00EE205B">
        <w:rPr>
          <w:rFonts w:ascii="Arial" w:hAnsi="Arial"/>
        </w:rPr>
        <w:t>.</w:t>
      </w:r>
    </w:p>
    <w:p w14:paraId="681CFFDC" w14:textId="47BA5930" w:rsidR="00CF7C5D" w:rsidRPr="00287574" w:rsidRDefault="00CF7C5D" w:rsidP="00CF7C5D">
      <w:pPr>
        <w:pStyle w:val="Paragraphedeliste"/>
        <w:rPr>
          <w:rFonts w:ascii="Arial" w:hAnsi="Arial" w:cs="Arial"/>
        </w:rPr>
      </w:pPr>
      <w:r w:rsidRPr="00287574">
        <w:rPr>
          <w:rFonts w:ascii="Arial" w:hAnsi="Arial"/>
        </w:rPr>
        <w:t>En cas d'utilisation en extérieur, la classe de protection prévue doit être au minimum IP</w:t>
      </w:r>
      <w:r w:rsidR="00731697">
        <w:rPr>
          <w:rFonts w:ascii="Arial" w:hAnsi="Arial"/>
        </w:rPr>
        <w:t>4</w:t>
      </w:r>
      <w:r w:rsidRPr="00287574">
        <w:rPr>
          <w:rFonts w:ascii="Arial" w:hAnsi="Arial"/>
        </w:rPr>
        <w:t>4</w:t>
      </w:r>
      <w:r w:rsidR="00EE205B">
        <w:rPr>
          <w:rFonts w:ascii="Arial" w:hAnsi="Arial"/>
        </w:rPr>
        <w:t>.</w:t>
      </w:r>
    </w:p>
    <w:p w14:paraId="3B907BF4" w14:textId="5518D1CA" w:rsidR="00CF7C5D" w:rsidRPr="00287574" w:rsidRDefault="00CF7C5D" w:rsidP="00CF7C5D">
      <w:pPr>
        <w:pStyle w:val="Paragraphedeliste"/>
        <w:rPr>
          <w:rFonts w:ascii="Arial" w:hAnsi="Arial" w:cs="Arial"/>
        </w:rPr>
      </w:pPr>
      <w:r w:rsidRPr="00287574">
        <w:rPr>
          <w:rFonts w:ascii="Arial" w:hAnsi="Arial"/>
        </w:rPr>
        <w:t xml:space="preserve">Établir une connexion de données (généralement via Ethernet) pour les stations de recharge individuelles pour la gestion de la charge, avec le protocole Open Charge Point Protocol (OCPP) recommandé à partir de la version 1.6 car la gestion de la charge/le « Smart </w:t>
      </w:r>
      <w:proofErr w:type="spellStart"/>
      <w:r w:rsidRPr="00287574">
        <w:rPr>
          <w:rFonts w:ascii="Arial" w:hAnsi="Arial"/>
        </w:rPr>
        <w:t>Charging</w:t>
      </w:r>
      <w:proofErr w:type="spellEnd"/>
      <w:r w:rsidRPr="00287574">
        <w:rPr>
          <w:rFonts w:ascii="Arial" w:hAnsi="Arial"/>
        </w:rPr>
        <w:t> » sont définis à partir de cette version</w:t>
      </w:r>
      <w:r w:rsidR="00EE205B">
        <w:rPr>
          <w:rFonts w:ascii="Arial" w:hAnsi="Arial"/>
        </w:rPr>
        <w:t>.</w:t>
      </w:r>
    </w:p>
    <w:p w14:paraId="30F02219" w14:textId="77CF2E0D" w:rsidR="00CF7C5D" w:rsidRPr="00287574" w:rsidRDefault="00CF7C5D" w:rsidP="00CF7C5D">
      <w:pPr>
        <w:pStyle w:val="Paragraphedeliste"/>
        <w:rPr>
          <w:rFonts w:ascii="Arial" w:hAnsi="Arial" w:cs="Arial"/>
        </w:rPr>
      </w:pPr>
      <w:r w:rsidRPr="00287574">
        <w:rPr>
          <w:rFonts w:ascii="Arial" w:hAnsi="Arial"/>
        </w:rPr>
        <w:t>Les câbles doivent être acheminés via l</w:t>
      </w:r>
      <w:r w:rsidR="00E65651">
        <w:rPr>
          <w:rFonts w:ascii="Arial" w:hAnsi="Arial"/>
        </w:rPr>
        <w:t xml:space="preserve">es parties communes </w:t>
      </w:r>
      <w:r w:rsidRPr="00287574">
        <w:rPr>
          <w:rFonts w:ascii="Arial" w:hAnsi="Arial"/>
        </w:rPr>
        <w:t>du bâtiment, en tenant compte des ouvertures des murs ou des cloisonnements pare-feu à franchir</w:t>
      </w:r>
      <w:r w:rsidR="00EE205B">
        <w:rPr>
          <w:rFonts w:ascii="Arial" w:hAnsi="Arial"/>
        </w:rPr>
        <w:t>.</w:t>
      </w:r>
    </w:p>
    <w:p w14:paraId="0758E67D" w14:textId="008759B6" w:rsidR="00CF7C5D" w:rsidRPr="00287574" w:rsidRDefault="00CF7C5D" w:rsidP="00CF7C5D">
      <w:pPr>
        <w:pStyle w:val="Paragraphedeliste"/>
        <w:rPr>
          <w:rFonts w:ascii="Arial" w:hAnsi="Arial" w:cs="Arial"/>
        </w:rPr>
      </w:pPr>
      <w:r w:rsidRPr="00287574">
        <w:rPr>
          <w:rFonts w:ascii="Arial" w:hAnsi="Arial"/>
        </w:rPr>
        <w:t>Prise en compte de la lutte contre l'incendie (RIA, installation de sprinklers, etc.)</w:t>
      </w:r>
      <w:r w:rsidR="00EE205B">
        <w:rPr>
          <w:rFonts w:ascii="Arial" w:hAnsi="Arial"/>
        </w:rPr>
        <w:t>. P</w:t>
      </w:r>
      <w:r w:rsidRPr="00287574">
        <w:rPr>
          <w:rFonts w:ascii="Arial" w:hAnsi="Arial"/>
        </w:rPr>
        <w:t>our les garages de plus de 20 places de parking, les stations de recharge doivent être intégrées dans le système de protection incendie et désactivées en cas de déclenchement</w:t>
      </w:r>
      <w:r w:rsidR="00EE205B">
        <w:rPr>
          <w:rFonts w:ascii="Arial" w:hAnsi="Arial"/>
        </w:rPr>
        <w:t>.</w:t>
      </w:r>
    </w:p>
    <w:p w14:paraId="788EEEDF" w14:textId="77777777" w:rsidR="00CF7C5D" w:rsidRPr="00287574" w:rsidRDefault="00CF7C5D" w:rsidP="00CF7C5D">
      <w:pPr>
        <w:pStyle w:val="freerow"/>
        <w:rPr>
          <w:rFonts w:ascii="Arial" w:hAnsi="Arial" w:cs="Arial"/>
        </w:rPr>
      </w:pPr>
    </w:p>
    <w:p w14:paraId="577B9678" w14:textId="4521E0FC" w:rsidR="00CF7C5D" w:rsidRPr="00955C85" w:rsidRDefault="002A5CEB" w:rsidP="00955C85">
      <w:pPr>
        <w:pStyle w:val="Titre3"/>
      </w:pPr>
      <w:bookmarkStart w:id="52" w:name="_Toc37844165"/>
      <w:bookmarkStart w:id="53" w:name="_Toc40432340"/>
      <w:r w:rsidRPr="00955C85">
        <w:lastRenderedPageBreak/>
        <w:t>Variante B : Gestion de la charge par l'exploitant des stations de recharge - 1 compteur « EMOB-Général »</w:t>
      </w:r>
      <w:bookmarkEnd w:id="52"/>
      <w:bookmarkEnd w:id="53"/>
    </w:p>
    <w:p w14:paraId="5D57FF15" w14:textId="37D82C06" w:rsidR="002A5CEB" w:rsidRPr="00287574" w:rsidRDefault="003A7BAC" w:rsidP="002A5CEB">
      <w:pPr>
        <w:rPr>
          <w:rFonts w:cs="Arial"/>
          <w:color w:val="auto"/>
        </w:rPr>
      </w:pPr>
      <w:r w:rsidRPr="00287574">
        <w:rPr>
          <w:noProof/>
          <w:color w:val="auto"/>
          <w:lang w:eastAsia="en-US"/>
        </w:rPr>
        <w:drawing>
          <wp:anchor distT="0" distB="0" distL="114300" distR="114300" simplePos="0" relativeHeight="251668480" behindDoc="1" locked="0" layoutInCell="1" allowOverlap="1" wp14:anchorId="3C76817D" wp14:editId="68D20D24">
            <wp:simplePos x="0" y="0"/>
            <wp:positionH relativeFrom="column">
              <wp:posOffset>3175</wp:posOffset>
            </wp:positionH>
            <wp:positionV relativeFrom="paragraph">
              <wp:posOffset>102732</wp:posOffset>
            </wp:positionV>
            <wp:extent cx="2498090" cy="2576195"/>
            <wp:effectExtent l="0" t="0" r="0" b="0"/>
            <wp:wrapTight wrapText="bothSides">
              <wp:wrapPolygon edited="0">
                <wp:start x="0" y="0"/>
                <wp:lineTo x="0" y="21403"/>
                <wp:lineTo x="21413" y="21403"/>
                <wp:lineTo x="21413"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498090" cy="2576195"/>
                    </a:xfrm>
                    <a:prstGeom prst="rect">
                      <a:avLst/>
                    </a:prstGeom>
                  </pic:spPr>
                </pic:pic>
              </a:graphicData>
            </a:graphic>
            <wp14:sizeRelH relativeFrom="margin">
              <wp14:pctWidth>0</wp14:pctWidth>
            </wp14:sizeRelH>
            <wp14:sizeRelV relativeFrom="margin">
              <wp14:pctHeight>0</wp14:pctHeight>
            </wp14:sizeRelV>
          </wp:anchor>
        </w:drawing>
      </w:r>
      <w:r w:rsidRPr="00287574">
        <w:rPr>
          <w:color w:val="auto"/>
        </w:rPr>
        <w:t>Cette variante constitue un nouveau raccordement électrique à installer pour alimenter les points de recharge des parkings (par ex. « Boîtier mural P1 » à « Boîtier mural P3 »). Dans certains cas, ce raccordement peut être réalisé sur le compteur commun du bâtiment (l'électricité consommée est alors régulée par l</w:t>
      </w:r>
      <w:r w:rsidR="00D477C6">
        <w:rPr>
          <w:color w:val="auto"/>
        </w:rPr>
        <w:t>e gestionnaire de l’immeuble/syndic</w:t>
      </w:r>
      <w:r w:rsidRPr="00287574">
        <w:rPr>
          <w:color w:val="auto"/>
        </w:rPr>
        <w:t xml:space="preserve">). Cette variante requiert un exploitant de station de recharge, dont les tâches sont idéalement la mise en place de l'infrastructure, le bon fonctionnement et la facturation des coûts (représentation schématique, source : </w:t>
      </w:r>
      <w:r w:rsidR="00731697">
        <w:rPr>
          <w:color w:val="auto"/>
        </w:rPr>
        <w:t>Prescriptions</w:t>
      </w:r>
      <w:r w:rsidRPr="00287574">
        <w:rPr>
          <w:color w:val="auto"/>
        </w:rPr>
        <w:t xml:space="preserve"> de raccordement pour les installations à </w:t>
      </w:r>
      <w:r w:rsidR="003214EF">
        <w:rPr>
          <w:color w:val="auto"/>
        </w:rPr>
        <w:t>courant fort</w:t>
      </w:r>
      <w:r w:rsidRPr="00287574">
        <w:rPr>
          <w:color w:val="auto"/>
        </w:rPr>
        <w:t xml:space="preserve"> tension avec tension nominale jusqu'à 1 000 V au sein du Grand-Duché de Luxembourg). En cas d'intervention d'un prestataire de services externe (indépendant d</w:t>
      </w:r>
      <w:r w:rsidR="00D477C6">
        <w:rPr>
          <w:color w:val="auto"/>
        </w:rPr>
        <w:t xml:space="preserve">u gestionnaire </w:t>
      </w:r>
      <w:r w:rsidRPr="00287574">
        <w:rPr>
          <w:color w:val="auto"/>
        </w:rPr>
        <w:t>de l'immeuble</w:t>
      </w:r>
      <w:r w:rsidR="00D477C6">
        <w:rPr>
          <w:color w:val="auto"/>
        </w:rPr>
        <w:t>/syndic</w:t>
      </w:r>
      <w:r w:rsidRPr="00287574">
        <w:rPr>
          <w:color w:val="auto"/>
        </w:rPr>
        <w:t>), un compteur supplémentaire du GRD est requis.</w:t>
      </w:r>
      <w:r w:rsidRPr="00287574">
        <w:t xml:space="preserve"> </w:t>
      </w:r>
    </w:p>
    <w:p w14:paraId="21B5A6ED" w14:textId="74C3B558" w:rsidR="002A5CEB" w:rsidRPr="00287574" w:rsidRDefault="002A5CEB" w:rsidP="002A5CEB">
      <w:pPr>
        <w:rPr>
          <w:rFonts w:cs="Arial"/>
          <w:color w:val="auto"/>
        </w:rPr>
      </w:pPr>
      <w:r w:rsidRPr="00287574">
        <w:rPr>
          <w:color w:val="auto"/>
        </w:rPr>
        <w:t>Si, par ex. pour des raisons tarifaires, la pose d'un compteur séparé est requise pour le raccordement d'un point de recharge pour véhicules électriques, elle doit être réalisée conformément à l'illustration 1) (par ex. « Boîtier mural P1 »).</w:t>
      </w:r>
    </w:p>
    <w:p w14:paraId="6C4B7727" w14:textId="16637891" w:rsidR="00AB0DEF" w:rsidRPr="00287574" w:rsidRDefault="00AB0DEF" w:rsidP="00CF7C5D">
      <w:pPr>
        <w:rPr>
          <w:rFonts w:cs="Arial"/>
          <w:color w:val="auto"/>
        </w:rPr>
      </w:pPr>
      <w:r w:rsidRPr="00287574">
        <w:rPr>
          <w:noProof/>
          <w:color w:val="auto"/>
          <w:lang w:eastAsia="en-US"/>
        </w:rPr>
        <w:lastRenderedPageBreak/>
        <w:drawing>
          <wp:anchor distT="0" distB="0" distL="114300" distR="114300" simplePos="0" relativeHeight="251670528" behindDoc="0" locked="0" layoutInCell="1" allowOverlap="1" wp14:anchorId="17321C00" wp14:editId="1A6A443D">
            <wp:simplePos x="0" y="0"/>
            <wp:positionH relativeFrom="column">
              <wp:posOffset>3282950</wp:posOffset>
            </wp:positionH>
            <wp:positionV relativeFrom="paragraph">
              <wp:posOffset>1177925</wp:posOffset>
            </wp:positionV>
            <wp:extent cx="2924999" cy="4186800"/>
            <wp:effectExtent l="0" t="0" r="8890" b="444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924999" cy="418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7574">
        <w:rPr>
          <w:b/>
          <w:bCs/>
          <w:noProof/>
          <w:color w:val="auto"/>
          <w:lang w:eastAsia="en-US"/>
        </w:rPr>
        <w:drawing>
          <wp:anchor distT="0" distB="0" distL="114300" distR="114300" simplePos="0" relativeHeight="251669504" behindDoc="0" locked="0" layoutInCell="1" allowOverlap="1" wp14:anchorId="44ABB767" wp14:editId="0ADF16AC">
            <wp:simplePos x="0" y="0"/>
            <wp:positionH relativeFrom="column">
              <wp:posOffset>-635</wp:posOffset>
            </wp:positionH>
            <wp:positionV relativeFrom="paragraph">
              <wp:posOffset>1169035</wp:posOffset>
            </wp:positionV>
            <wp:extent cx="2924175" cy="4185920"/>
            <wp:effectExtent l="0" t="0" r="9525" b="508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924175" cy="4185920"/>
                    </a:xfrm>
                    <a:prstGeom prst="rect">
                      <a:avLst/>
                    </a:prstGeom>
                    <a:noFill/>
                    <a:ln>
                      <a:noFill/>
                    </a:ln>
                  </pic:spPr>
                </pic:pic>
              </a:graphicData>
            </a:graphic>
          </wp:anchor>
        </w:drawing>
      </w:r>
      <w:r w:rsidRPr="00287574">
        <w:t xml:space="preserve"> </w:t>
      </w:r>
      <w:r w:rsidRPr="00287574">
        <w:rPr>
          <w:color w:val="auto"/>
        </w:rPr>
        <w:t xml:space="preserve">La « station maître » représentée schématiquement dans l'illustration ci-dessus n'est pas un composant disponible </w:t>
      </w:r>
      <w:r w:rsidR="004D4069">
        <w:rPr>
          <w:color w:val="auto"/>
        </w:rPr>
        <w:t>sur le marché</w:t>
      </w:r>
      <w:r w:rsidRPr="00287574">
        <w:rPr>
          <w:color w:val="auto"/>
        </w:rPr>
        <w:t xml:space="preserve"> sous cette désignation, mais symbolise plutôt le matériel requis pour la gestion de la charge (qui n'est en aucun cas intégrée au circuit de charge). En principe, il existe deux approches différentes de la mise en œuvre technique, qui sont illustrées à titre d'exemples dans les deux illustrations suivantes. Ici, le propriétaire ou le gestionnaire de l'immeuble est libre de décider de la version la plus appropriée à la situation.</w:t>
      </w:r>
    </w:p>
    <w:p w14:paraId="44588029" w14:textId="77777777" w:rsidR="00AB0DEF" w:rsidRPr="00287574" w:rsidRDefault="00AB0DEF" w:rsidP="00CE1C6C">
      <w:pPr>
        <w:rPr>
          <w:rFonts w:cs="Arial"/>
          <w:color w:val="auto"/>
        </w:rPr>
      </w:pPr>
    </w:p>
    <w:p w14:paraId="3787E366" w14:textId="48C58E90" w:rsidR="00CE1C6C" w:rsidRPr="00287574" w:rsidRDefault="00A34E35" w:rsidP="00CE1C6C">
      <w:pPr>
        <w:rPr>
          <w:rFonts w:cs="Arial"/>
          <w:color w:val="auto"/>
        </w:rPr>
      </w:pPr>
      <w:bookmarkStart w:id="54" w:name="_Hlk36730959"/>
      <w:r w:rsidRPr="00287574">
        <w:rPr>
          <w:color w:val="auto"/>
        </w:rPr>
        <w:t>Pour permettre la facturation à la consommation au sein de l'immeuble, les consommations de chaque point de recharge doivent être relevées, par ex. à l'aide de compteurs intégrés dans chaque station de recharge ou posés dans une armoire distincte. La disposition de ces compteurs n'est pas représentée dans les illustrations dans un souci de simplification. Les consommations sont transmises à un backend via la gestion de la charge et l'interface OCPP.</w:t>
      </w:r>
    </w:p>
    <w:bookmarkEnd w:id="54"/>
    <w:p w14:paraId="7F9D9D4B" w14:textId="01151764" w:rsidR="00D96581" w:rsidRPr="00287574" w:rsidRDefault="00491BA4" w:rsidP="00CF7C5D">
      <w:pPr>
        <w:rPr>
          <w:rFonts w:cs="Arial"/>
          <w:color w:val="auto"/>
        </w:rPr>
      </w:pPr>
      <w:r w:rsidRPr="00287574">
        <w:rPr>
          <w:color w:val="auto"/>
        </w:rPr>
        <w:t xml:space="preserve">La copropriété, le propriétaire de l'immeuble ou un prestataire de services externe peut agir en tant qu'opérateur des stations de recharge. Cette forme d'exploitation commune des points de recharge </w:t>
      </w:r>
      <w:r w:rsidR="00642407">
        <w:rPr>
          <w:color w:val="auto"/>
        </w:rPr>
        <w:t>assure</w:t>
      </w:r>
      <w:r w:rsidR="00642407" w:rsidRPr="00287574">
        <w:rPr>
          <w:color w:val="auto"/>
        </w:rPr>
        <w:t xml:space="preserve"> </w:t>
      </w:r>
      <w:r w:rsidRPr="00287574">
        <w:rPr>
          <w:color w:val="auto"/>
        </w:rPr>
        <w:t xml:space="preserve">la mise en place de l'infrastructure de recharge et </w:t>
      </w:r>
      <w:r w:rsidR="00642407">
        <w:rPr>
          <w:color w:val="auto"/>
        </w:rPr>
        <w:t xml:space="preserve">garantit </w:t>
      </w:r>
      <w:r w:rsidRPr="00287574">
        <w:rPr>
          <w:color w:val="auto"/>
        </w:rPr>
        <w:t>le fonctionnement de l'installation. En outre, les exploitants de points de recharge internes peuvent également acheter des services individuels auprès de fournisseurs de mobilité électrique (par ex., facturation des processus de recharge ou gestion de la charge).</w:t>
      </w:r>
    </w:p>
    <w:p w14:paraId="4326069A" w14:textId="212EFA19" w:rsidR="00CF7C5D" w:rsidRPr="00287574" w:rsidRDefault="00CF7C5D" w:rsidP="00CF7C5D">
      <w:pPr>
        <w:rPr>
          <w:rFonts w:cs="Arial"/>
          <w:color w:val="auto"/>
        </w:rPr>
      </w:pPr>
      <w:r w:rsidRPr="00287574">
        <w:rPr>
          <w:color w:val="auto"/>
        </w:rPr>
        <w:lastRenderedPageBreak/>
        <w:t xml:space="preserve">Cette variante convient à la fois aux places de stationnement fixes et non fixes. </w:t>
      </w:r>
      <w:r w:rsidR="00642407">
        <w:rPr>
          <w:color w:val="auto"/>
        </w:rPr>
        <w:t>Elle</w:t>
      </w:r>
      <w:r w:rsidRPr="00287574">
        <w:rPr>
          <w:color w:val="auto"/>
        </w:rPr>
        <w:t xml:space="preserve"> est la solution idéale dans la plupart des cas, car elle garantit une plus grande flexibilité pour l'avenir. Les points de charge peuvent être équipés ultérieurement à peu de frais, et il est également possible de mieux exploiter le raccordement existant du bâtiment grâce à une gestion de charge appropriée sans augmenter la puissance de raccordement (par rapport à un bâtiment similaire sans points de recharge).</w:t>
      </w:r>
    </w:p>
    <w:p w14:paraId="24D81677" w14:textId="77777777" w:rsidR="00CF7C5D" w:rsidRPr="00287574" w:rsidRDefault="00CF7C5D" w:rsidP="00CF7C5D">
      <w:pPr>
        <w:rPr>
          <w:rFonts w:cs="Arial"/>
          <w:color w:val="auto"/>
        </w:rPr>
      </w:pPr>
      <w:r w:rsidRPr="00287574">
        <w:rPr>
          <w:color w:val="auto"/>
        </w:rPr>
        <w:t>Avantages :</w:t>
      </w:r>
    </w:p>
    <w:p w14:paraId="10E2A8E0" w14:textId="33180133" w:rsidR="00CF7C5D" w:rsidRPr="00287574" w:rsidRDefault="00CF7C5D" w:rsidP="00CF7C5D">
      <w:pPr>
        <w:pStyle w:val="Paragraphedeliste"/>
        <w:rPr>
          <w:rFonts w:ascii="Arial" w:hAnsi="Arial" w:cs="Arial"/>
        </w:rPr>
      </w:pPr>
      <w:r w:rsidRPr="00287574">
        <w:rPr>
          <w:rFonts w:ascii="Arial" w:hAnsi="Arial"/>
        </w:rPr>
        <w:t xml:space="preserve">Possibilité d'alimenter et de gérer simplement des places de stationnement utilisées au prorata </w:t>
      </w:r>
      <w:r w:rsidR="00642407">
        <w:rPr>
          <w:rFonts w:ascii="Arial" w:hAnsi="Arial"/>
        </w:rPr>
        <w:t xml:space="preserve">du nombre d’utilisateurs </w:t>
      </w:r>
      <w:r w:rsidRPr="00287574">
        <w:rPr>
          <w:rFonts w:ascii="Arial" w:hAnsi="Arial"/>
        </w:rPr>
        <w:t>(par ex., une place de stationnement pour plusieurs utilisateurs)</w:t>
      </w:r>
    </w:p>
    <w:p w14:paraId="62756474" w14:textId="7CED7B49" w:rsidR="00CF7C5D" w:rsidRPr="00287574" w:rsidRDefault="00CF7C5D" w:rsidP="00CF7C5D">
      <w:pPr>
        <w:pStyle w:val="Paragraphedeliste"/>
        <w:rPr>
          <w:rFonts w:ascii="Arial" w:hAnsi="Arial" w:cs="Arial"/>
        </w:rPr>
      </w:pPr>
      <w:r w:rsidRPr="00287574">
        <w:rPr>
          <w:rFonts w:ascii="Arial" w:hAnsi="Arial"/>
        </w:rPr>
        <w:t>Il est ainsi possible d'alimenter des places de stationnement pour visiteurs</w:t>
      </w:r>
    </w:p>
    <w:p w14:paraId="4C9B9021" w14:textId="3D9FAC76" w:rsidR="00CF7C5D" w:rsidRPr="00287574" w:rsidRDefault="00CF7C5D" w:rsidP="00CF7C5D">
      <w:pPr>
        <w:pStyle w:val="Paragraphedeliste"/>
        <w:rPr>
          <w:rFonts w:ascii="Arial" w:hAnsi="Arial" w:cs="Arial"/>
        </w:rPr>
      </w:pPr>
      <w:r w:rsidRPr="00287574">
        <w:rPr>
          <w:rFonts w:ascii="Arial" w:hAnsi="Arial"/>
        </w:rPr>
        <w:t>Moins d'espace requis dans l'armoire des compteurs qu'avec la variante A</w:t>
      </w:r>
    </w:p>
    <w:p w14:paraId="06F5219A" w14:textId="31A7F7F8" w:rsidR="00CF7C5D" w:rsidRPr="00287574" w:rsidRDefault="00CF7C5D" w:rsidP="00CF7C5D">
      <w:pPr>
        <w:pStyle w:val="Paragraphedeliste"/>
        <w:rPr>
          <w:rFonts w:ascii="Arial" w:hAnsi="Arial" w:cs="Arial"/>
        </w:rPr>
      </w:pPr>
      <w:r w:rsidRPr="00287574">
        <w:rPr>
          <w:rFonts w:ascii="Arial" w:hAnsi="Arial"/>
        </w:rPr>
        <w:t>Possibilité de commande dynamique des processus de charge, possibilité de réduction ou d'optimisation de la puissance de raccordement</w:t>
      </w:r>
    </w:p>
    <w:p w14:paraId="0516BBBC" w14:textId="13E0BB6A" w:rsidR="00CF7C5D" w:rsidRPr="00287574" w:rsidRDefault="00CF7C5D" w:rsidP="00CF7C5D">
      <w:pPr>
        <w:pStyle w:val="Paragraphedeliste"/>
        <w:rPr>
          <w:rFonts w:ascii="Arial" w:hAnsi="Arial" w:cs="Arial"/>
        </w:rPr>
      </w:pPr>
      <w:r w:rsidRPr="00287574">
        <w:rPr>
          <w:rFonts w:ascii="Arial" w:hAnsi="Arial"/>
        </w:rPr>
        <w:t>Démarrage différé des processus de charge (à l'avenir, il sera ainsi possible de réduire les coûts grâce à des tarifs d'électricité flexibles)</w:t>
      </w:r>
    </w:p>
    <w:p w14:paraId="542CC3E8" w14:textId="2F828E93" w:rsidR="00CF7C5D" w:rsidRPr="00287574" w:rsidRDefault="00CF7C5D" w:rsidP="00CF7C5D">
      <w:pPr>
        <w:pStyle w:val="Paragraphedeliste"/>
        <w:rPr>
          <w:rFonts w:ascii="Arial" w:hAnsi="Arial" w:cs="Arial"/>
        </w:rPr>
      </w:pPr>
      <w:r w:rsidRPr="00287574">
        <w:rPr>
          <w:rFonts w:ascii="Arial" w:hAnsi="Arial"/>
        </w:rPr>
        <w:t>Optimisation de l'autoconsommation d'électricité</w:t>
      </w:r>
    </w:p>
    <w:p w14:paraId="2F831A31" w14:textId="77777777" w:rsidR="00CF7C5D" w:rsidRPr="00287574" w:rsidRDefault="00CF7C5D" w:rsidP="00CF7C5D">
      <w:pPr>
        <w:rPr>
          <w:rFonts w:cs="Arial"/>
          <w:color w:val="auto"/>
        </w:rPr>
      </w:pPr>
      <w:r w:rsidRPr="00287574">
        <w:rPr>
          <w:color w:val="auto"/>
        </w:rPr>
        <w:t>Inconvénients :</w:t>
      </w:r>
    </w:p>
    <w:p w14:paraId="53908811" w14:textId="45B89A53" w:rsidR="00CF7C5D" w:rsidRPr="00287574" w:rsidRDefault="00D00287" w:rsidP="00CF7C5D">
      <w:pPr>
        <w:pStyle w:val="Paragraphedeliste"/>
        <w:rPr>
          <w:rFonts w:ascii="Arial" w:hAnsi="Arial" w:cs="Arial"/>
        </w:rPr>
      </w:pPr>
      <w:r w:rsidRPr="00287574">
        <w:rPr>
          <w:rFonts w:ascii="Arial" w:hAnsi="Arial"/>
        </w:rPr>
        <w:t>Frais supplémentaires continus éventuellement possibles pour le propriétaire ou l'utilisateur (par ex. recours à un prestataire de services externe</w:t>
      </w:r>
      <w:r w:rsidR="00EE47D4" w:rsidRPr="00287574">
        <w:rPr>
          <w:rStyle w:val="Appelnotedebasdep"/>
          <w:rFonts w:ascii="Arial" w:hAnsi="Arial" w:cs="Arial"/>
        </w:rPr>
        <w:footnoteReference w:id="7"/>
      </w:r>
      <w:r w:rsidRPr="00287574">
        <w:rPr>
          <w:rFonts w:ascii="Arial" w:hAnsi="Arial"/>
        </w:rPr>
        <w:t>)</w:t>
      </w:r>
    </w:p>
    <w:p w14:paraId="0158E4E1" w14:textId="77777777" w:rsidR="00CF7C5D" w:rsidRPr="00287574" w:rsidRDefault="00CF7C5D" w:rsidP="00CF7C5D">
      <w:pPr>
        <w:rPr>
          <w:rFonts w:cs="Arial"/>
          <w:color w:val="auto"/>
        </w:rPr>
      </w:pPr>
      <w:r w:rsidRPr="00287574">
        <w:rPr>
          <w:color w:val="auto"/>
        </w:rPr>
        <w:t>Exécution :</w:t>
      </w:r>
    </w:p>
    <w:p w14:paraId="4A51432F" w14:textId="3EA478AA" w:rsidR="00CF7C5D" w:rsidRPr="00287574" w:rsidRDefault="00CF7C5D" w:rsidP="00CF7C5D">
      <w:pPr>
        <w:pStyle w:val="Paragraphedeliste"/>
        <w:rPr>
          <w:rFonts w:ascii="Arial" w:hAnsi="Arial" w:cs="Arial"/>
        </w:rPr>
      </w:pPr>
      <w:r w:rsidRPr="00287574">
        <w:rPr>
          <w:rFonts w:ascii="Arial" w:hAnsi="Arial"/>
        </w:rPr>
        <w:t>Branchement du nouveau compteur pour l'infrastructure de recharge du distributeur principal du bâtiment, y compris les conduits d'isolation ou le système de rails de support. Les câbles doivent être acheminés via la zone générale du bâtiment, en tenant compte des ouvertures des murs ou des cloisonnements pare-feu à franchir.</w:t>
      </w:r>
    </w:p>
    <w:p w14:paraId="2A8B4BCD" w14:textId="46B5F4BD" w:rsidR="00CF7C5D" w:rsidRPr="00287574" w:rsidRDefault="00035858" w:rsidP="00CF7C5D">
      <w:pPr>
        <w:pStyle w:val="Paragraphedeliste"/>
        <w:rPr>
          <w:rFonts w:ascii="Arial" w:hAnsi="Arial" w:cs="Arial"/>
        </w:rPr>
      </w:pPr>
      <w:r w:rsidRPr="00287574">
        <w:rPr>
          <w:rFonts w:ascii="Arial" w:hAnsi="Arial"/>
        </w:rPr>
        <w:t>En fonction de l'infrastructure de recharge utilisée, un espace supplémentaire peut être nécessaire pour un « compteur » pour chaque point de recharge. Des compteurs conformes MID doivent être utilisés pour relever la consommation d'électricité.</w:t>
      </w:r>
    </w:p>
    <w:p w14:paraId="3CE7C1BA" w14:textId="7B4FF3A9" w:rsidR="00CF7C5D" w:rsidRPr="00287574" w:rsidRDefault="00CF7C5D" w:rsidP="00CF7C5D">
      <w:pPr>
        <w:pStyle w:val="Paragraphedeliste"/>
        <w:rPr>
          <w:rFonts w:ascii="Arial" w:hAnsi="Arial" w:cs="Arial"/>
        </w:rPr>
      </w:pPr>
      <w:r w:rsidRPr="00287574">
        <w:rPr>
          <w:rFonts w:ascii="Arial" w:hAnsi="Arial"/>
        </w:rPr>
        <w:t>Il est nécessaire de poser les câbles de raccordement, y compris les conduites d'isolation ou les rails de montage (câbles électriques et de données) entre la nouvelle armoire des compteurs et chaque place de stationnement à alimenter.</w:t>
      </w:r>
    </w:p>
    <w:p w14:paraId="21FFD6A3" w14:textId="223D4F5A" w:rsidR="00CF7C5D" w:rsidRPr="00287574" w:rsidRDefault="00CF7C5D" w:rsidP="00CF7C5D">
      <w:pPr>
        <w:pStyle w:val="Paragraphedeliste"/>
        <w:rPr>
          <w:rFonts w:ascii="Arial" w:hAnsi="Arial" w:cs="Arial"/>
        </w:rPr>
      </w:pPr>
      <w:r w:rsidRPr="00287574">
        <w:rPr>
          <w:rFonts w:ascii="Arial" w:hAnsi="Arial"/>
        </w:rPr>
        <w:t xml:space="preserve">Câblage </w:t>
      </w:r>
      <w:r w:rsidR="00837688">
        <w:rPr>
          <w:rFonts w:ascii="Arial" w:hAnsi="Arial"/>
        </w:rPr>
        <w:t xml:space="preserve">obligatoire </w:t>
      </w:r>
      <w:r w:rsidRPr="00287574">
        <w:rPr>
          <w:rFonts w:ascii="Arial" w:hAnsi="Arial"/>
        </w:rPr>
        <w:t>pour la communication avec les compteurs intelligents</w:t>
      </w:r>
    </w:p>
    <w:p w14:paraId="6ED9EB6D" w14:textId="688B0FF9" w:rsidR="00CF7C5D" w:rsidRPr="00287574" w:rsidRDefault="0061021E" w:rsidP="00CF7C5D">
      <w:pPr>
        <w:pStyle w:val="Paragraphedeliste"/>
        <w:rPr>
          <w:rFonts w:ascii="Arial" w:hAnsi="Arial" w:cs="Arial"/>
        </w:rPr>
      </w:pPr>
      <w:r w:rsidRPr="00287574">
        <w:rPr>
          <w:rFonts w:ascii="Arial" w:hAnsi="Arial"/>
        </w:rPr>
        <w:t>Espace supplémentaire pour accueillir l'infrastructure de gestion de la charge (serveur, etc.)</w:t>
      </w:r>
    </w:p>
    <w:p w14:paraId="3929A7FD" w14:textId="39F0C0D0" w:rsidR="00CF7C5D" w:rsidRPr="00287574" w:rsidRDefault="00CF7C5D" w:rsidP="00CF7C5D">
      <w:pPr>
        <w:pStyle w:val="Paragraphedeliste"/>
        <w:rPr>
          <w:rFonts w:ascii="Arial" w:hAnsi="Arial" w:cs="Arial"/>
        </w:rPr>
      </w:pPr>
      <w:r w:rsidRPr="00287574">
        <w:rPr>
          <w:rFonts w:ascii="Arial" w:hAnsi="Arial"/>
        </w:rPr>
        <w:t>Mise en place d'un circuit séparé en version triphasée, 5 fils, du TGBT au point de recharge</w:t>
      </w:r>
    </w:p>
    <w:p w14:paraId="0E1E6443" w14:textId="5D94C1CF" w:rsidR="00CF7C5D" w:rsidRPr="00287574" w:rsidRDefault="00CF7C5D" w:rsidP="00CF7C5D">
      <w:pPr>
        <w:pStyle w:val="Paragraphedeliste"/>
        <w:rPr>
          <w:rFonts w:ascii="Arial" w:hAnsi="Arial" w:cs="Arial"/>
        </w:rPr>
      </w:pPr>
      <w:r w:rsidRPr="00287574">
        <w:rPr>
          <w:rFonts w:ascii="Arial" w:hAnsi="Arial"/>
        </w:rPr>
        <w:t xml:space="preserve">Protection distincte comprenant une protection RCD de type B ou de type A/EV dans le TGBT si le boîtier mural n'est pas équipé d'une protection RCD, qui détecte également les courants de défaut continus (voir Tableau 4 : Exigences relatives aux </w:t>
      </w:r>
      <w:r w:rsidRPr="00DD04BE">
        <w:rPr>
          <w:rFonts w:ascii="Arial" w:hAnsi="Arial"/>
        </w:rPr>
        <w:t>disjoncteurs à courant de défaut</w:t>
      </w:r>
      <w:r w:rsidRPr="00287574">
        <w:rPr>
          <w:rFonts w:ascii="Arial" w:hAnsi="Arial"/>
        </w:rPr>
        <w:t>)</w:t>
      </w:r>
    </w:p>
    <w:p w14:paraId="3EF91F87" w14:textId="7B1DC1A3" w:rsidR="00CF7C5D" w:rsidRPr="00287574" w:rsidRDefault="00CF7C5D" w:rsidP="00CF7C5D">
      <w:pPr>
        <w:pStyle w:val="Paragraphedeliste"/>
        <w:rPr>
          <w:rFonts w:ascii="Arial" w:hAnsi="Arial" w:cs="Arial"/>
        </w:rPr>
      </w:pPr>
      <w:r w:rsidRPr="00287574">
        <w:rPr>
          <w:rFonts w:ascii="Arial" w:hAnsi="Arial"/>
        </w:rPr>
        <w:t>En cas d'utilisation en extérieur, la classe de protection prévue doit être au minimum IP</w:t>
      </w:r>
      <w:r w:rsidR="00731697">
        <w:rPr>
          <w:rFonts w:ascii="Arial" w:hAnsi="Arial"/>
        </w:rPr>
        <w:t>4</w:t>
      </w:r>
      <w:r w:rsidRPr="00287574">
        <w:rPr>
          <w:rFonts w:ascii="Arial" w:hAnsi="Arial"/>
        </w:rPr>
        <w:t>4.</w:t>
      </w:r>
    </w:p>
    <w:p w14:paraId="763B58EE" w14:textId="67E86C3D" w:rsidR="00CF7C5D" w:rsidRPr="00287574" w:rsidRDefault="00CF7C5D" w:rsidP="00CF7C5D">
      <w:pPr>
        <w:pStyle w:val="Paragraphedeliste"/>
        <w:rPr>
          <w:rFonts w:ascii="Arial" w:hAnsi="Arial" w:cs="Arial"/>
        </w:rPr>
      </w:pPr>
      <w:r w:rsidRPr="00287574">
        <w:rPr>
          <w:rFonts w:ascii="Arial" w:hAnsi="Arial"/>
        </w:rPr>
        <w:lastRenderedPageBreak/>
        <w:t>Établir une connexion de données (généralement via Ethernet) pour les stations de recharge individuelles avec un backend et un système de gestion de charge, avec le protocole Open Charge Point Protocol (OCPP) recommandé à partir de la version 1.6.</w:t>
      </w:r>
    </w:p>
    <w:p w14:paraId="5DCF88F6" w14:textId="77BD3ABF" w:rsidR="00CF7C5D" w:rsidRPr="00287574" w:rsidRDefault="00CF7C5D" w:rsidP="00CF7C5D">
      <w:pPr>
        <w:pStyle w:val="Paragraphedeliste"/>
        <w:rPr>
          <w:rFonts w:ascii="Arial" w:hAnsi="Arial" w:cs="Arial"/>
        </w:rPr>
      </w:pPr>
      <w:r w:rsidRPr="00287574">
        <w:rPr>
          <w:rFonts w:ascii="Arial" w:hAnsi="Arial"/>
        </w:rPr>
        <w:t>Prise en compte de la lutte contre l'incendie (RIA, installation de sprinklers, etc.) ; pour les garages à partir de 20 places de parking, les stations de recharge doivent être intégrées dans le système de protection incendie et désactivées en cas de déclenchement.</w:t>
      </w:r>
    </w:p>
    <w:p w14:paraId="3770E5DB" w14:textId="1E1B35F7" w:rsidR="00CF7C5D" w:rsidRPr="00287574" w:rsidRDefault="00CF7C5D" w:rsidP="00334846">
      <w:pPr>
        <w:pStyle w:val="Titre2"/>
      </w:pPr>
      <w:bookmarkStart w:id="55" w:name="_Toc22731553"/>
      <w:bookmarkStart w:id="56" w:name="_Toc37844166"/>
      <w:bookmarkStart w:id="57" w:name="_Toc40432341"/>
      <w:r w:rsidRPr="00287574">
        <w:t>Mesures de protection</w:t>
      </w:r>
      <w:bookmarkEnd w:id="55"/>
      <w:bookmarkEnd w:id="56"/>
      <w:bookmarkEnd w:id="57"/>
    </w:p>
    <w:p w14:paraId="012EC387" w14:textId="1AC06F21" w:rsidR="00CF7C5D" w:rsidRPr="00287574" w:rsidRDefault="00CF7C5D" w:rsidP="00CF7C5D">
      <w:pPr>
        <w:rPr>
          <w:rFonts w:cs="Arial"/>
          <w:color w:val="auto"/>
        </w:rPr>
      </w:pPr>
      <w:r w:rsidRPr="00287574">
        <w:rPr>
          <w:color w:val="auto"/>
        </w:rPr>
        <w:t xml:space="preserve">Lors de la mise à niveau des équipements existants, il est recommandé de confier à un électricien spécialisé la vérification de l'adéquation de l'installation électrique existante pour la recharge de véhicules électriques. En outre, il convient de </w:t>
      </w:r>
      <w:r w:rsidR="00837688">
        <w:rPr>
          <w:color w:val="auto"/>
        </w:rPr>
        <w:t>vérifier</w:t>
      </w:r>
      <w:r w:rsidRPr="00287574">
        <w:rPr>
          <w:color w:val="auto"/>
        </w:rPr>
        <w:t xml:space="preserve"> si l'accord du gestionnaire de réseau</w:t>
      </w:r>
      <w:r w:rsidR="00731697">
        <w:rPr>
          <w:color w:val="auto"/>
        </w:rPr>
        <w:t>x</w:t>
      </w:r>
      <w:r w:rsidRPr="00287574">
        <w:rPr>
          <w:color w:val="auto"/>
        </w:rPr>
        <w:t xml:space="preserve"> de distribution concerné doit être obtenu à l'avance.</w:t>
      </w:r>
    </w:p>
    <w:p w14:paraId="7A0FB1A9" w14:textId="21D0FBBE" w:rsidR="00CF7C5D" w:rsidRPr="00287574" w:rsidRDefault="003D1DD4" w:rsidP="00955C85">
      <w:pPr>
        <w:pStyle w:val="Titre3"/>
      </w:pPr>
      <w:bookmarkStart w:id="58" w:name="_Toc30139779"/>
      <w:bookmarkStart w:id="59" w:name="_Toc22731554"/>
      <w:bookmarkStart w:id="60" w:name="_Toc37844167"/>
      <w:bookmarkStart w:id="61" w:name="_Toc40432342"/>
      <w:bookmarkEnd w:id="58"/>
      <w:r w:rsidRPr="00287574">
        <w:t>Charge monophasée via un raccordement triphasé</w:t>
      </w:r>
      <w:bookmarkEnd w:id="59"/>
      <w:bookmarkEnd w:id="60"/>
      <w:bookmarkEnd w:id="61"/>
    </w:p>
    <w:p w14:paraId="7B0450C0" w14:textId="77E8CD4B" w:rsidR="0067332E" w:rsidRPr="00287574" w:rsidRDefault="00CF7C5D" w:rsidP="00CF7C5D">
      <w:pPr>
        <w:rPr>
          <w:rFonts w:cs="Arial"/>
          <w:color w:val="auto"/>
        </w:rPr>
      </w:pPr>
      <w:r w:rsidRPr="00287574">
        <w:rPr>
          <w:color w:val="auto"/>
        </w:rPr>
        <w:t xml:space="preserve">Il est à noter que tous les véhicules hybrides rechargeables et la plupart des véhicules électriques commercialisés actuellement ne peuvent être chargés que sur </w:t>
      </w:r>
      <w:r w:rsidR="00DB78BE">
        <w:rPr>
          <w:color w:val="auto"/>
        </w:rPr>
        <w:t xml:space="preserve">du </w:t>
      </w:r>
      <w:r w:rsidRPr="00287574">
        <w:rPr>
          <w:color w:val="auto"/>
        </w:rPr>
        <w:t>courant monophasé, voire biphasé pour certains. Cela signifie que l'alimentation triphasée n'est que très peu exploitée pour l'instant et que l'électricien doit absolument pivoter les phases entre boîtiers muraux de 120°, afin que tous les VE (monophasés) ne soient pas alimentés avec la même phase, ce qui se solderait par un déséquilibre de la charge et d'éventuels dommages des composants.</w:t>
      </w:r>
    </w:p>
    <w:p w14:paraId="216141E4" w14:textId="63C72CCB" w:rsidR="00CF7C5D" w:rsidRPr="00287574" w:rsidRDefault="00CF7C5D" w:rsidP="00955C85">
      <w:pPr>
        <w:pStyle w:val="Titre3"/>
      </w:pPr>
      <w:bookmarkStart w:id="62" w:name="_Toc22731555"/>
      <w:bookmarkStart w:id="63" w:name="_Toc37844168"/>
      <w:bookmarkStart w:id="64" w:name="_Toc40432343"/>
      <w:r w:rsidRPr="00287574">
        <w:t>Protection contre la surcharge et les courts-circuits</w:t>
      </w:r>
      <w:bookmarkEnd w:id="62"/>
      <w:bookmarkEnd w:id="63"/>
      <w:bookmarkEnd w:id="64"/>
    </w:p>
    <w:p w14:paraId="2B29856C" w14:textId="5243FDF9" w:rsidR="00CF7C5D" w:rsidRPr="00287574" w:rsidRDefault="003D1DD4" w:rsidP="00CF7C5D">
      <w:pPr>
        <w:rPr>
          <w:rFonts w:cs="Arial"/>
          <w:color w:val="auto"/>
        </w:rPr>
      </w:pPr>
      <w:r w:rsidRPr="00287574">
        <w:rPr>
          <w:color w:val="auto"/>
        </w:rPr>
        <w:t>Les prises domestiques monophasées avec terre de 16 A ne conviennent que pour une charge continue limitée et ne doivent pas être utilisées pour l'installation de nouveaux circuits de recharge pour véhicules routiers. Pour cela, il convient de prévoir des connecteurs industriels (prises CEE) pour les modes de recharge 1 ou 2.</w:t>
      </w:r>
    </w:p>
    <w:p w14:paraId="72F03F8C" w14:textId="7AC67BA2" w:rsidR="00CF7C5D" w:rsidRPr="00287574" w:rsidRDefault="00CF7C5D" w:rsidP="00CF7C5D">
      <w:pPr>
        <w:rPr>
          <w:rFonts w:cs="Arial"/>
          <w:color w:val="auto"/>
        </w:rPr>
      </w:pPr>
      <w:r w:rsidRPr="00287574">
        <w:rPr>
          <w:color w:val="auto"/>
        </w:rPr>
        <w:t>Il est recommandé d'utiliser des dispositifs de protection contre la surcharge avec le courant de déclenchement thermique le plus bas possible. Le courant nominal du dispositif de protection contre les surintensités doit être choisi en tenant compte du courant de charge permanente le plus faible de tous les équipements du circuit de recharge.</w:t>
      </w:r>
    </w:p>
    <w:p w14:paraId="05C2CA5C" w14:textId="303658F4" w:rsidR="00CF7C5D" w:rsidRPr="00287574" w:rsidRDefault="00CF7C5D" w:rsidP="00955C85">
      <w:pPr>
        <w:pStyle w:val="Titre3"/>
      </w:pPr>
      <w:bookmarkStart w:id="65" w:name="_Toc22731556"/>
      <w:bookmarkStart w:id="66" w:name="_Toc37844169"/>
      <w:bookmarkStart w:id="67" w:name="_Toc40432344"/>
      <w:r w:rsidRPr="00287574">
        <w:t>Disjoncteur</w:t>
      </w:r>
      <w:bookmarkEnd w:id="65"/>
      <w:bookmarkEnd w:id="66"/>
      <w:bookmarkEnd w:id="67"/>
    </w:p>
    <w:p w14:paraId="1CD9DF80" w14:textId="0B9A4364" w:rsidR="00CF7C5D" w:rsidRPr="00287574" w:rsidRDefault="00CF7C5D" w:rsidP="00CF7C5D">
      <w:pPr>
        <w:rPr>
          <w:rFonts w:cs="Arial"/>
          <w:color w:val="auto"/>
        </w:rPr>
      </w:pPr>
      <w:r w:rsidRPr="00287574">
        <w:rPr>
          <w:color w:val="auto"/>
        </w:rPr>
        <w:t>Le tableau suivant présente les disjoncteurs requis qui doivent être prévus pour toutes les phases de chaque point de recharge.</w:t>
      </w:r>
    </w:p>
    <w:p w14:paraId="6D5FEE31" w14:textId="725FAFBA" w:rsidR="00CF7C5D" w:rsidRPr="00287574" w:rsidRDefault="00CF7C5D" w:rsidP="00CF7C5D">
      <w:pPr>
        <w:pStyle w:val="Tabelle"/>
        <w:rPr>
          <w:rFonts w:ascii="Arial" w:hAnsi="Arial" w:cs="Arial"/>
          <w:b/>
          <w:bCs/>
          <w:i w:val="0"/>
          <w:iCs/>
          <w:sz w:val="22"/>
          <w:szCs w:val="22"/>
        </w:rPr>
      </w:pPr>
      <w:r w:rsidRPr="00287574">
        <w:rPr>
          <w:rFonts w:ascii="Arial" w:hAnsi="Arial"/>
          <w:b/>
          <w:bCs/>
          <w:i w:val="0"/>
          <w:iCs/>
          <w:sz w:val="22"/>
          <w:szCs w:val="22"/>
        </w:rPr>
        <w:t>Tableau</w:t>
      </w:r>
      <w:r w:rsidRPr="00287574">
        <w:t xml:space="preserve"> </w:t>
      </w:r>
      <w:r w:rsidRPr="00287574">
        <w:rPr>
          <w:rFonts w:ascii="Arial" w:hAnsi="Arial" w:cs="Arial"/>
          <w:b/>
          <w:bCs/>
          <w:i w:val="0"/>
          <w:iCs/>
          <w:sz w:val="22"/>
          <w:szCs w:val="22"/>
        </w:rPr>
        <w:fldChar w:fldCharType="begin"/>
      </w:r>
      <w:r w:rsidRPr="00287574">
        <w:rPr>
          <w:rFonts w:ascii="Arial" w:hAnsi="Arial" w:cs="Arial"/>
          <w:b/>
          <w:bCs/>
          <w:i w:val="0"/>
          <w:iCs/>
          <w:sz w:val="22"/>
          <w:szCs w:val="22"/>
        </w:rPr>
        <w:instrText xml:space="preserve"> SEQ Tabelle \* ARABIC </w:instrText>
      </w:r>
      <w:r w:rsidRPr="00287574">
        <w:rPr>
          <w:rFonts w:ascii="Arial" w:hAnsi="Arial" w:cs="Arial"/>
          <w:b/>
          <w:bCs/>
          <w:i w:val="0"/>
          <w:iCs/>
          <w:sz w:val="22"/>
          <w:szCs w:val="22"/>
        </w:rPr>
        <w:fldChar w:fldCharType="separate"/>
      </w:r>
      <w:r w:rsidR="00287574" w:rsidRPr="00287574">
        <w:rPr>
          <w:rFonts w:ascii="Arial" w:hAnsi="Arial" w:cs="Arial"/>
          <w:b/>
          <w:bCs/>
          <w:i w:val="0"/>
          <w:iCs/>
          <w:sz w:val="22"/>
          <w:szCs w:val="22"/>
        </w:rPr>
        <w:t>3</w:t>
      </w:r>
      <w:r w:rsidRPr="00287574">
        <w:rPr>
          <w:rFonts w:ascii="Arial" w:hAnsi="Arial" w:cs="Arial"/>
          <w:b/>
          <w:bCs/>
          <w:i w:val="0"/>
          <w:iCs/>
          <w:sz w:val="22"/>
          <w:szCs w:val="22"/>
        </w:rPr>
        <w:fldChar w:fldCharType="end"/>
      </w:r>
      <w:r w:rsidRPr="00287574">
        <w:t> </w:t>
      </w:r>
      <w:r w:rsidRPr="00287574">
        <w:rPr>
          <w:rFonts w:ascii="Arial" w:hAnsi="Arial"/>
          <w:b/>
          <w:bCs/>
          <w:i w:val="0"/>
          <w:iCs/>
          <w:sz w:val="22"/>
          <w:szCs w:val="22"/>
        </w:rPr>
        <w:t>: Vue d'ensemble des disjoncteurs pour chaque point de recharge (par phase)</w:t>
      </w:r>
    </w:p>
    <w:tbl>
      <w:tblPr>
        <w:tblStyle w:val="Grilledutableau"/>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2134"/>
        <w:gridCol w:w="2134"/>
        <w:gridCol w:w="2132"/>
      </w:tblGrid>
      <w:tr w:rsidR="00CF7C5D" w:rsidRPr="00287574" w14:paraId="2A8CB914" w14:textId="77777777" w:rsidTr="00CF7C5D">
        <w:tc>
          <w:tcPr>
            <w:tcW w:w="1728" w:type="pct"/>
            <w:tcBorders>
              <w:top w:val="single" w:sz="12" w:space="0" w:color="auto"/>
              <w:bottom w:val="single" w:sz="6" w:space="0" w:color="auto"/>
            </w:tcBorders>
          </w:tcPr>
          <w:p w14:paraId="1441AC97" w14:textId="77777777" w:rsidR="00CF7C5D" w:rsidRPr="00287574" w:rsidRDefault="00CF7C5D" w:rsidP="004C7296">
            <w:pPr>
              <w:spacing w:before="60" w:after="60"/>
              <w:rPr>
                <w:rFonts w:cs="Arial"/>
                <w:color w:val="auto"/>
                <w:sz w:val="20"/>
              </w:rPr>
            </w:pPr>
          </w:p>
        </w:tc>
        <w:tc>
          <w:tcPr>
            <w:tcW w:w="1091" w:type="pct"/>
            <w:tcBorders>
              <w:top w:val="single" w:sz="12" w:space="0" w:color="auto"/>
              <w:bottom w:val="single" w:sz="6" w:space="0" w:color="auto"/>
            </w:tcBorders>
          </w:tcPr>
          <w:p w14:paraId="3686C7CA" w14:textId="77777777" w:rsidR="00CF7C5D" w:rsidRPr="00287574" w:rsidRDefault="00CF7C5D" w:rsidP="004C7296">
            <w:pPr>
              <w:spacing w:before="60" w:after="60"/>
              <w:jc w:val="center"/>
              <w:rPr>
                <w:rFonts w:cs="Arial"/>
                <w:color w:val="auto"/>
                <w:sz w:val="20"/>
              </w:rPr>
            </w:pPr>
            <w:r w:rsidRPr="00287574">
              <w:rPr>
                <w:color w:val="auto"/>
                <w:sz w:val="20"/>
              </w:rPr>
              <w:t>Monophasé</w:t>
            </w:r>
          </w:p>
        </w:tc>
        <w:tc>
          <w:tcPr>
            <w:tcW w:w="2181" w:type="pct"/>
            <w:gridSpan w:val="2"/>
            <w:tcBorders>
              <w:top w:val="single" w:sz="12" w:space="0" w:color="auto"/>
              <w:bottom w:val="single" w:sz="6" w:space="0" w:color="auto"/>
            </w:tcBorders>
          </w:tcPr>
          <w:p w14:paraId="6BAB6D4B" w14:textId="77777777" w:rsidR="00CF7C5D" w:rsidRPr="00287574" w:rsidRDefault="00CF7C5D" w:rsidP="004C7296">
            <w:pPr>
              <w:spacing w:before="60" w:after="60"/>
              <w:jc w:val="center"/>
              <w:rPr>
                <w:rFonts w:cs="Arial"/>
                <w:color w:val="auto"/>
                <w:sz w:val="20"/>
              </w:rPr>
            </w:pPr>
            <w:r w:rsidRPr="00287574">
              <w:rPr>
                <w:color w:val="auto"/>
                <w:sz w:val="20"/>
              </w:rPr>
              <w:t>Triphasé</w:t>
            </w:r>
          </w:p>
        </w:tc>
      </w:tr>
      <w:tr w:rsidR="00CF7C5D" w:rsidRPr="00287574" w14:paraId="2AFC294C" w14:textId="77777777" w:rsidTr="00CF7C5D">
        <w:tc>
          <w:tcPr>
            <w:tcW w:w="1728" w:type="pct"/>
            <w:tcBorders>
              <w:top w:val="single" w:sz="6" w:space="0" w:color="auto"/>
            </w:tcBorders>
          </w:tcPr>
          <w:p w14:paraId="73A4FE38" w14:textId="77777777" w:rsidR="00CF7C5D" w:rsidRPr="00287574" w:rsidRDefault="00CF7C5D" w:rsidP="004C7296">
            <w:pPr>
              <w:spacing w:before="60" w:after="60"/>
              <w:jc w:val="right"/>
              <w:rPr>
                <w:rFonts w:cs="Arial"/>
                <w:color w:val="auto"/>
                <w:sz w:val="18"/>
              </w:rPr>
            </w:pPr>
            <w:r w:rsidRPr="00287574">
              <w:rPr>
                <w:color w:val="auto"/>
                <w:sz w:val="18"/>
              </w:rPr>
              <w:t>Puissance du point de recharge (kW)</w:t>
            </w:r>
          </w:p>
        </w:tc>
        <w:tc>
          <w:tcPr>
            <w:tcW w:w="1091" w:type="pct"/>
            <w:tcBorders>
              <w:top w:val="single" w:sz="6" w:space="0" w:color="auto"/>
            </w:tcBorders>
          </w:tcPr>
          <w:p w14:paraId="1BB98EE6" w14:textId="77777777" w:rsidR="00CF7C5D" w:rsidRPr="00287574" w:rsidRDefault="00CF7C5D" w:rsidP="004C7296">
            <w:pPr>
              <w:tabs>
                <w:tab w:val="decimal" w:pos="884"/>
              </w:tabs>
              <w:spacing w:before="60" w:after="60"/>
              <w:jc w:val="left"/>
              <w:rPr>
                <w:rFonts w:cs="Arial"/>
                <w:color w:val="auto"/>
                <w:sz w:val="18"/>
              </w:rPr>
            </w:pPr>
            <w:r w:rsidRPr="00287574">
              <w:rPr>
                <w:color w:val="auto"/>
                <w:sz w:val="18"/>
              </w:rPr>
              <w:t>4,6</w:t>
            </w:r>
          </w:p>
        </w:tc>
        <w:tc>
          <w:tcPr>
            <w:tcW w:w="1091" w:type="pct"/>
            <w:tcBorders>
              <w:top w:val="single" w:sz="6" w:space="0" w:color="auto"/>
            </w:tcBorders>
          </w:tcPr>
          <w:p w14:paraId="38ABDE67" w14:textId="77777777" w:rsidR="00CF7C5D" w:rsidRPr="00287574" w:rsidRDefault="00CF7C5D" w:rsidP="004C7296">
            <w:pPr>
              <w:spacing w:before="60" w:after="60"/>
              <w:jc w:val="center"/>
              <w:rPr>
                <w:rFonts w:cs="Arial"/>
                <w:color w:val="auto"/>
                <w:sz w:val="18"/>
              </w:rPr>
            </w:pPr>
            <w:r w:rsidRPr="00287574">
              <w:rPr>
                <w:color w:val="auto"/>
                <w:sz w:val="18"/>
              </w:rPr>
              <w:t>11</w:t>
            </w:r>
          </w:p>
        </w:tc>
        <w:tc>
          <w:tcPr>
            <w:tcW w:w="1091" w:type="pct"/>
            <w:tcBorders>
              <w:top w:val="single" w:sz="6" w:space="0" w:color="auto"/>
            </w:tcBorders>
          </w:tcPr>
          <w:p w14:paraId="347FEEE2" w14:textId="77777777" w:rsidR="00CF7C5D" w:rsidRPr="00287574" w:rsidRDefault="00CF7C5D" w:rsidP="004C7296">
            <w:pPr>
              <w:spacing w:before="60" w:after="60"/>
              <w:jc w:val="center"/>
              <w:rPr>
                <w:rFonts w:cs="Arial"/>
                <w:color w:val="auto"/>
                <w:sz w:val="18"/>
              </w:rPr>
            </w:pPr>
            <w:r w:rsidRPr="00287574">
              <w:rPr>
                <w:color w:val="auto"/>
                <w:sz w:val="18"/>
              </w:rPr>
              <w:t>22</w:t>
            </w:r>
          </w:p>
        </w:tc>
      </w:tr>
      <w:tr w:rsidR="00CF7C5D" w:rsidRPr="00287574" w14:paraId="3C9944EB" w14:textId="77777777" w:rsidTr="00CF7C5D">
        <w:tc>
          <w:tcPr>
            <w:tcW w:w="1728" w:type="pct"/>
          </w:tcPr>
          <w:p w14:paraId="26C9103E" w14:textId="77777777" w:rsidR="00CF7C5D" w:rsidRPr="00287574" w:rsidRDefault="00CF7C5D" w:rsidP="004C7296">
            <w:pPr>
              <w:spacing w:before="60" w:after="60"/>
              <w:jc w:val="right"/>
              <w:rPr>
                <w:rFonts w:cs="Arial"/>
                <w:color w:val="auto"/>
                <w:sz w:val="18"/>
              </w:rPr>
            </w:pPr>
            <w:r w:rsidRPr="00287574">
              <w:rPr>
                <w:color w:val="auto"/>
                <w:sz w:val="18"/>
              </w:rPr>
              <w:t>Courant (A)</w:t>
            </w:r>
          </w:p>
        </w:tc>
        <w:tc>
          <w:tcPr>
            <w:tcW w:w="1091" w:type="pct"/>
          </w:tcPr>
          <w:p w14:paraId="0A80E6E1" w14:textId="77777777" w:rsidR="00CF7C5D" w:rsidRPr="00287574" w:rsidRDefault="00CF7C5D" w:rsidP="004C7296">
            <w:pPr>
              <w:tabs>
                <w:tab w:val="decimal" w:pos="884"/>
              </w:tabs>
              <w:spacing w:before="60" w:after="60"/>
              <w:jc w:val="left"/>
              <w:rPr>
                <w:rFonts w:cs="Arial"/>
                <w:color w:val="auto"/>
                <w:sz w:val="18"/>
              </w:rPr>
            </w:pPr>
            <w:r w:rsidRPr="00287574">
              <w:rPr>
                <w:color w:val="auto"/>
                <w:sz w:val="18"/>
              </w:rPr>
              <w:t>20</w:t>
            </w:r>
          </w:p>
        </w:tc>
        <w:tc>
          <w:tcPr>
            <w:tcW w:w="1091" w:type="pct"/>
          </w:tcPr>
          <w:p w14:paraId="0E25FCBD" w14:textId="77777777" w:rsidR="00CF7C5D" w:rsidRPr="00287574" w:rsidRDefault="00CF7C5D" w:rsidP="004C7296">
            <w:pPr>
              <w:spacing w:before="60" w:after="60"/>
              <w:jc w:val="center"/>
              <w:rPr>
                <w:rFonts w:cs="Arial"/>
                <w:color w:val="auto"/>
                <w:sz w:val="18"/>
              </w:rPr>
            </w:pPr>
            <w:r w:rsidRPr="00287574">
              <w:rPr>
                <w:color w:val="auto"/>
                <w:sz w:val="18"/>
              </w:rPr>
              <w:t>16</w:t>
            </w:r>
          </w:p>
        </w:tc>
        <w:tc>
          <w:tcPr>
            <w:tcW w:w="1091" w:type="pct"/>
          </w:tcPr>
          <w:p w14:paraId="625D9E92" w14:textId="77777777" w:rsidR="00CF7C5D" w:rsidRPr="00287574" w:rsidRDefault="00CF7C5D" w:rsidP="004C7296">
            <w:pPr>
              <w:spacing w:before="60" w:after="60"/>
              <w:jc w:val="center"/>
              <w:rPr>
                <w:rFonts w:cs="Arial"/>
                <w:color w:val="auto"/>
                <w:sz w:val="18"/>
              </w:rPr>
            </w:pPr>
            <w:r w:rsidRPr="00287574">
              <w:rPr>
                <w:color w:val="auto"/>
                <w:sz w:val="18"/>
              </w:rPr>
              <w:t>32</w:t>
            </w:r>
          </w:p>
        </w:tc>
      </w:tr>
      <w:tr w:rsidR="00CF7C5D" w:rsidRPr="00287574" w14:paraId="6D56574D" w14:textId="77777777" w:rsidTr="00CF7C5D">
        <w:tc>
          <w:tcPr>
            <w:tcW w:w="1728" w:type="pct"/>
          </w:tcPr>
          <w:p w14:paraId="5EF5CB34" w14:textId="77777777" w:rsidR="00CF7C5D" w:rsidRPr="00287574" w:rsidRDefault="00CF7C5D" w:rsidP="004C7296">
            <w:pPr>
              <w:spacing w:before="60" w:after="60"/>
              <w:jc w:val="right"/>
              <w:rPr>
                <w:rFonts w:cs="Arial"/>
                <w:color w:val="auto"/>
                <w:sz w:val="18"/>
              </w:rPr>
            </w:pPr>
            <w:r w:rsidRPr="00287574">
              <w:rPr>
                <w:color w:val="auto"/>
                <w:sz w:val="18"/>
              </w:rPr>
              <w:t>Disjoncteur (A)</w:t>
            </w:r>
          </w:p>
        </w:tc>
        <w:tc>
          <w:tcPr>
            <w:tcW w:w="1091" w:type="pct"/>
          </w:tcPr>
          <w:p w14:paraId="16816FF2" w14:textId="77777777" w:rsidR="00CF7C5D" w:rsidRPr="00287574" w:rsidRDefault="00CF7C5D" w:rsidP="004C7296">
            <w:pPr>
              <w:tabs>
                <w:tab w:val="decimal" w:pos="884"/>
              </w:tabs>
              <w:spacing w:before="60" w:after="60"/>
              <w:jc w:val="left"/>
              <w:rPr>
                <w:rFonts w:cs="Arial"/>
                <w:color w:val="auto"/>
                <w:sz w:val="18"/>
              </w:rPr>
            </w:pPr>
            <w:r w:rsidRPr="00287574">
              <w:rPr>
                <w:color w:val="auto"/>
                <w:sz w:val="18"/>
              </w:rPr>
              <w:t>25</w:t>
            </w:r>
          </w:p>
        </w:tc>
        <w:tc>
          <w:tcPr>
            <w:tcW w:w="1091" w:type="pct"/>
          </w:tcPr>
          <w:p w14:paraId="7EB05986" w14:textId="77777777" w:rsidR="00CF7C5D" w:rsidRPr="00287574" w:rsidRDefault="00CF7C5D" w:rsidP="004C7296">
            <w:pPr>
              <w:spacing w:before="60" w:after="60"/>
              <w:jc w:val="center"/>
              <w:rPr>
                <w:rFonts w:cs="Arial"/>
                <w:color w:val="auto"/>
                <w:sz w:val="18"/>
              </w:rPr>
            </w:pPr>
            <w:r w:rsidRPr="00287574">
              <w:rPr>
                <w:color w:val="auto"/>
                <w:sz w:val="18"/>
              </w:rPr>
              <w:t>20</w:t>
            </w:r>
          </w:p>
        </w:tc>
        <w:tc>
          <w:tcPr>
            <w:tcW w:w="1091" w:type="pct"/>
          </w:tcPr>
          <w:p w14:paraId="4E6755E0" w14:textId="77777777" w:rsidR="00CF7C5D" w:rsidRPr="00287574" w:rsidRDefault="00CF7C5D" w:rsidP="004C7296">
            <w:pPr>
              <w:spacing w:before="60" w:after="60"/>
              <w:jc w:val="center"/>
              <w:rPr>
                <w:rFonts w:cs="Arial"/>
                <w:color w:val="auto"/>
                <w:sz w:val="18"/>
              </w:rPr>
            </w:pPr>
            <w:r w:rsidRPr="00287574">
              <w:rPr>
                <w:color w:val="auto"/>
                <w:sz w:val="18"/>
              </w:rPr>
              <w:t>40</w:t>
            </w:r>
          </w:p>
        </w:tc>
      </w:tr>
    </w:tbl>
    <w:p w14:paraId="15993707" w14:textId="7B47E86F" w:rsidR="00CF7C5D" w:rsidRPr="00287574" w:rsidRDefault="00CF7C5D" w:rsidP="00955C85">
      <w:pPr>
        <w:pStyle w:val="Titre3"/>
      </w:pPr>
      <w:bookmarkStart w:id="68" w:name="_Toc22731557"/>
      <w:bookmarkStart w:id="69" w:name="_Toc37844170"/>
      <w:bookmarkStart w:id="70" w:name="_Toc40432345"/>
      <w:r w:rsidRPr="00287574">
        <w:lastRenderedPageBreak/>
        <w:t>Protection contre les chocs électriques</w:t>
      </w:r>
      <w:bookmarkEnd w:id="68"/>
      <w:bookmarkEnd w:id="69"/>
      <w:bookmarkEnd w:id="70"/>
    </w:p>
    <w:p w14:paraId="31E0CE6D" w14:textId="6374055A" w:rsidR="00CF7C5D" w:rsidRPr="00287574" w:rsidRDefault="00CF7C5D" w:rsidP="00CF7C5D">
      <w:pPr>
        <w:rPr>
          <w:rFonts w:cs="Arial"/>
          <w:color w:val="auto"/>
        </w:rPr>
      </w:pPr>
      <w:r w:rsidRPr="00287574">
        <w:rPr>
          <w:color w:val="auto"/>
        </w:rPr>
        <w:t xml:space="preserve">Pour la protection contre les chocs électriques, toutes les mesures de protection de base </w:t>
      </w:r>
      <w:r w:rsidR="00DB78BE">
        <w:rPr>
          <w:color w:val="auto"/>
        </w:rPr>
        <w:t>ainsi que</w:t>
      </w:r>
      <w:r w:rsidR="00DB78BE" w:rsidRPr="00287574">
        <w:rPr>
          <w:color w:val="auto"/>
        </w:rPr>
        <w:t xml:space="preserve"> </w:t>
      </w:r>
      <w:r w:rsidRPr="00287574">
        <w:rPr>
          <w:color w:val="auto"/>
        </w:rPr>
        <w:t xml:space="preserve">contre </w:t>
      </w:r>
      <w:proofErr w:type="gramStart"/>
      <w:r w:rsidRPr="00287574">
        <w:rPr>
          <w:color w:val="auto"/>
        </w:rPr>
        <w:t>les défauts spécifiées</w:t>
      </w:r>
      <w:proofErr w:type="gramEnd"/>
      <w:r w:rsidRPr="00287574">
        <w:rPr>
          <w:color w:val="auto"/>
        </w:rPr>
        <w:t xml:space="preserve"> dans la</w:t>
      </w:r>
      <w:r w:rsidRPr="00287574">
        <w:t xml:space="preserve"> </w:t>
      </w:r>
      <w:bookmarkStart w:id="71" w:name="_Hlk36801104"/>
      <w:r w:rsidRPr="00287574">
        <w:rPr>
          <w:color w:val="auto"/>
        </w:rPr>
        <w:t xml:space="preserve">norme DIN VDE 0100-722 </w:t>
      </w:r>
      <w:bookmarkEnd w:id="71"/>
      <w:r w:rsidRPr="00287574">
        <w:rPr>
          <w:color w:val="auto"/>
        </w:rPr>
        <w:t>doivent être mises en œuvre, sauf si la sélection de ces mesures de protection est restreinte en raison de</w:t>
      </w:r>
      <w:r w:rsidR="00731697">
        <w:rPr>
          <w:color w:val="auto"/>
        </w:rPr>
        <w:t>s</w:t>
      </w:r>
      <w:r w:rsidRPr="00287574">
        <w:rPr>
          <w:color w:val="auto"/>
        </w:rPr>
        <w:t xml:space="preserve"> conditions environnementales ou de</w:t>
      </w:r>
      <w:r w:rsidR="00DB78BE">
        <w:rPr>
          <w:color w:val="auto"/>
        </w:rPr>
        <w:t>s</w:t>
      </w:r>
      <w:r w:rsidRPr="00287574">
        <w:rPr>
          <w:color w:val="auto"/>
        </w:rPr>
        <w:t xml:space="preserve"> systèmes de réseau spécifiques.</w:t>
      </w:r>
    </w:p>
    <w:p w14:paraId="0C10F117" w14:textId="2358E3AD" w:rsidR="00A34E35" w:rsidRPr="00287574" w:rsidRDefault="000B6D40" w:rsidP="00CF7C5D">
      <w:pPr>
        <w:rPr>
          <w:rFonts w:cs="Arial"/>
          <w:color w:val="auto"/>
        </w:rPr>
      </w:pPr>
      <w:r w:rsidRPr="00287574">
        <w:rPr>
          <w:color w:val="auto"/>
        </w:rPr>
        <w:t xml:space="preserve">Les disjoncteurs à </w:t>
      </w:r>
      <w:r w:rsidRPr="00817847">
        <w:rPr>
          <w:color w:val="auto"/>
        </w:rPr>
        <w:t>courant de défaut sont donc utilisés pour la protection des pe</w:t>
      </w:r>
      <w:r w:rsidRPr="00106648">
        <w:rPr>
          <w:color w:val="auto"/>
        </w:rPr>
        <w:t>rsonnes, des biens et contre l'incendie, le</w:t>
      </w:r>
      <w:r w:rsidR="005D41B4" w:rsidRPr="00106648">
        <w:rPr>
          <w:color w:val="auto"/>
        </w:rPr>
        <w:t>ur</w:t>
      </w:r>
      <w:r w:rsidRPr="00106648">
        <w:rPr>
          <w:color w:val="auto"/>
        </w:rPr>
        <w:t xml:space="preserve">s </w:t>
      </w:r>
      <w:r w:rsidR="005D41B4" w:rsidRPr="00106648">
        <w:rPr>
          <w:color w:val="auto"/>
        </w:rPr>
        <w:t>caractéristiques</w:t>
      </w:r>
      <w:r w:rsidRPr="00106648">
        <w:rPr>
          <w:color w:val="auto"/>
        </w:rPr>
        <w:t xml:space="preserve"> dépend</w:t>
      </w:r>
      <w:r w:rsidR="005D41B4" w:rsidRPr="00106648">
        <w:rPr>
          <w:color w:val="auto"/>
        </w:rPr>
        <w:t>e</w:t>
      </w:r>
      <w:r w:rsidRPr="00106648">
        <w:rPr>
          <w:color w:val="auto"/>
        </w:rPr>
        <w:t xml:space="preserve">nt </w:t>
      </w:r>
      <w:r w:rsidRPr="00817847">
        <w:rPr>
          <w:color w:val="auto"/>
        </w:rPr>
        <w:t>du dispositif de protection dont la station de recharge dispose par défaut. Un véhicule à batterie électrique pouvant théoriquement provoquer à la fois des courants de défaut alternatifs et continus en cas de défa</w:t>
      </w:r>
      <w:r w:rsidR="005D41B4" w:rsidRPr="00106648">
        <w:rPr>
          <w:color w:val="auto"/>
        </w:rPr>
        <w:t>illance</w:t>
      </w:r>
      <w:r w:rsidRPr="00817847">
        <w:rPr>
          <w:color w:val="auto"/>
        </w:rPr>
        <w:t>, les dispositifs de protection doiven</w:t>
      </w:r>
      <w:r w:rsidRPr="00106648">
        <w:rPr>
          <w:color w:val="auto"/>
        </w:rPr>
        <w:t>t dans tous les cas garantir qu</w:t>
      </w:r>
      <w:r w:rsidR="00634A28" w:rsidRPr="00DD04BE">
        <w:rPr>
          <w:color w:val="auto"/>
        </w:rPr>
        <w:t>’un arrêt se produi</w:t>
      </w:r>
      <w:r w:rsidR="00EF444D" w:rsidRPr="00DD04BE">
        <w:rPr>
          <w:color w:val="auto"/>
        </w:rPr>
        <w:t>se dès que</w:t>
      </w:r>
      <w:r w:rsidRPr="00106648">
        <w:rPr>
          <w:color w:val="auto"/>
        </w:rPr>
        <w:t xml:space="preserve"> </w:t>
      </w:r>
      <w:r w:rsidR="00EF444D" w:rsidRPr="00DD04BE">
        <w:rPr>
          <w:color w:val="auto"/>
        </w:rPr>
        <w:t xml:space="preserve">les </w:t>
      </w:r>
      <w:r w:rsidRPr="00817847">
        <w:rPr>
          <w:color w:val="auto"/>
        </w:rPr>
        <w:t xml:space="preserve">courants de défaut </w:t>
      </w:r>
      <w:r w:rsidR="00EF444D" w:rsidRPr="00DD04BE">
        <w:rPr>
          <w:color w:val="auto"/>
        </w:rPr>
        <w:t>s</w:t>
      </w:r>
      <w:r w:rsidR="00DE51FE">
        <w:rPr>
          <w:color w:val="auto"/>
        </w:rPr>
        <w:t>urpassent</w:t>
      </w:r>
      <w:r w:rsidRPr="00106648">
        <w:rPr>
          <w:color w:val="auto"/>
        </w:rPr>
        <w:t xml:space="preserve"> 30 mA (CA) et 6 mA (CC). Les</w:t>
      </w:r>
      <w:r w:rsidRPr="00287574">
        <w:rPr>
          <w:color w:val="auto"/>
        </w:rPr>
        <w:t xml:space="preserve"> disjoncteurs à courant de défaut conventionnels et bon marché de type « A » ne peuvent détecter que des courants de défaut purement alternatifs, mais sont inefficaces en présence de courants de défaut continus (éventuellement superposés). Lors de l'installation de plusieurs stations de recharge, par ex. dans un immeuble résidentiel, chaque point de recharge doit être protégé individuellement par des dispositifs à courant de défaut. Dans de telles installations, les courants de défaut de plusieurs points de recharge peuvent s'additionner le cas échéant</w:t>
      </w:r>
      <w:r w:rsidR="00EF444D">
        <w:rPr>
          <w:color w:val="auto"/>
        </w:rPr>
        <w:t>. Cela</w:t>
      </w:r>
      <w:r w:rsidRPr="00287574">
        <w:rPr>
          <w:color w:val="auto"/>
        </w:rPr>
        <w:t xml:space="preserve"> signifie que le courant de défaut total qui en résulte dépasse les limites autorisées (30 mA CA ou 6 mA CC)</w:t>
      </w:r>
      <w:r w:rsidR="00EF444D">
        <w:rPr>
          <w:color w:val="auto"/>
        </w:rPr>
        <w:t>. Un</w:t>
      </w:r>
      <w:r w:rsidRPr="00287574">
        <w:rPr>
          <w:color w:val="auto"/>
        </w:rPr>
        <w:t xml:space="preserve"> disjoncteur à courant de défaut de type B supplémentaire doit </w:t>
      </w:r>
      <w:r w:rsidR="00EF444D">
        <w:rPr>
          <w:color w:val="auto"/>
        </w:rPr>
        <w:t xml:space="preserve">dès lors </w:t>
      </w:r>
      <w:r w:rsidRPr="00287574">
        <w:rPr>
          <w:color w:val="auto"/>
        </w:rPr>
        <w:t>être raccordé en amont.</w:t>
      </w:r>
    </w:p>
    <w:p w14:paraId="1900EF38" w14:textId="6B44C4AD" w:rsidR="00CF7C5D" w:rsidRPr="00287574" w:rsidRDefault="00D121DA" w:rsidP="00CF7C5D">
      <w:pPr>
        <w:rPr>
          <w:rFonts w:cs="Arial"/>
          <w:color w:val="auto"/>
        </w:rPr>
      </w:pPr>
      <w:r w:rsidRPr="00287574">
        <w:rPr>
          <w:color w:val="auto"/>
        </w:rPr>
        <w:t>Le tableau suivant présente les dispositifs de protection contre les courants de défaut (RCD) du circuit en fonction du dispositif de protection de la station de recharge :</w:t>
      </w:r>
    </w:p>
    <w:p w14:paraId="53E5E559" w14:textId="5672CDAE" w:rsidR="00CF7C5D" w:rsidRPr="00287574" w:rsidRDefault="00CF7C5D" w:rsidP="00CF7C5D">
      <w:pPr>
        <w:pStyle w:val="Tabelle"/>
        <w:rPr>
          <w:rFonts w:ascii="Arial" w:hAnsi="Arial" w:cs="Arial"/>
          <w:b/>
          <w:bCs/>
          <w:i w:val="0"/>
          <w:iCs/>
          <w:sz w:val="22"/>
          <w:szCs w:val="22"/>
        </w:rPr>
      </w:pPr>
      <w:r w:rsidRPr="00287574">
        <w:rPr>
          <w:rFonts w:ascii="Arial" w:hAnsi="Arial"/>
          <w:b/>
          <w:bCs/>
          <w:i w:val="0"/>
          <w:iCs/>
          <w:sz w:val="22"/>
          <w:szCs w:val="22"/>
        </w:rPr>
        <w:t>Tableau</w:t>
      </w:r>
      <w:r w:rsidRPr="00287574">
        <w:t xml:space="preserve"> </w:t>
      </w:r>
      <w:r w:rsidRPr="00287574">
        <w:rPr>
          <w:rFonts w:ascii="Arial" w:hAnsi="Arial" w:cs="Arial"/>
          <w:b/>
          <w:bCs/>
          <w:i w:val="0"/>
          <w:iCs/>
          <w:sz w:val="22"/>
          <w:szCs w:val="22"/>
        </w:rPr>
        <w:fldChar w:fldCharType="begin"/>
      </w:r>
      <w:r w:rsidRPr="00287574">
        <w:rPr>
          <w:rFonts w:ascii="Arial" w:hAnsi="Arial" w:cs="Arial"/>
          <w:b/>
          <w:bCs/>
          <w:i w:val="0"/>
          <w:iCs/>
          <w:sz w:val="22"/>
          <w:szCs w:val="22"/>
        </w:rPr>
        <w:instrText xml:space="preserve"> SEQ Tabelle \* ARABIC </w:instrText>
      </w:r>
      <w:r w:rsidRPr="00287574">
        <w:rPr>
          <w:rFonts w:ascii="Arial" w:hAnsi="Arial" w:cs="Arial"/>
          <w:b/>
          <w:bCs/>
          <w:i w:val="0"/>
          <w:iCs/>
          <w:sz w:val="22"/>
          <w:szCs w:val="22"/>
        </w:rPr>
        <w:fldChar w:fldCharType="separate"/>
      </w:r>
      <w:r w:rsidR="00287574" w:rsidRPr="00287574">
        <w:rPr>
          <w:rFonts w:ascii="Arial" w:hAnsi="Arial" w:cs="Arial"/>
          <w:b/>
          <w:bCs/>
          <w:i w:val="0"/>
          <w:iCs/>
          <w:sz w:val="22"/>
          <w:szCs w:val="22"/>
        </w:rPr>
        <w:t>4</w:t>
      </w:r>
      <w:r w:rsidRPr="00287574">
        <w:rPr>
          <w:rFonts w:ascii="Arial" w:hAnsi="Arial" w:cs="Arial"/>
          <w:b/>
          <w:bCs/>
          <w:i w:val="0"/>
          <w:iCs/>
          <w:sz w:val="22"/>
          <w:szCs w:val="22"/>
        </w:rPr>
        <w:fldChar w:fldCharType="end"/>
      </w:r>
      <w:r w:rsidRPr="00287574">
        <w:t> </w:t>
      </w:r>
      <w:r w:rsidRPr="00287574">
        <w:rPr>
          <w:rFonts w:ascii="Arial" w:hAnsi="Arial"/>
          <w:b/>
          <w:bCs/>
          <w:i w:val="0"/>
          <w:iCs/>
          <w:sz w:val="22"/>
          <w:szCs w:val="22"/>
        </w:rPr>
        <w:t>: Critères de sélection du dispositif de protection contre les courants de défaut</w:t>
      </w:r>
    </w:p>
    <w:tbl>
      <w:tblPr>
        <w:tblW w:w="9540" w:type="dxa"/>
        <w:tblCellMar>
          <w:left w:w="0" w:type="dxa"/>
          <w:right w:w="0" w:type="dxa"/>
        </w:tblCellMar>
        <w:tblLook w:val="04A0" w:firstRow="1" w:lastRow="0" w:firstColumn="1" w:lastColumn="0" w:noHBand="0" w:noVBand="1"/>
      </w:tblPr>
      <w:tblGrid>
        <w:gridCol w:w="1833"/>
        <w:gridCol w:w="1985"/>
        <w:gridCol w:w="1907"/>
        <w:gridCol w:w="1907"/>
        <w:gridCol w:w="1908"/>
      </w:tblGrid>
      <w:tr w:rsidR="00A34E35" w:rsidRPr="00287574" w14:paraId="2063E696" w14:textId="77777777" w:rsidTr="00A34E35">
        <w:trPr>
          <w:trHeight w:val="320"/>
        </w:trPr>
        <w:tc>
          <w:tcPr>
            <w:tcW w:w="9540" w:type="dxa"/>
            <w:gridSpan w:val="5"/>
            <w:tcBorders>
              <w:top w:val="single" w:sz="8" w:space="0" w:color="auto"/>
              <w:left w:val="single" w:sz="8" w:space="0" w:color="auto"/>
              <w:bottom w:val="nil"/>
              <w:right w:val="single" w:sz="8" w:space="0" w:color="000000"/>
            </w:tcBorders>
            <w:tcMar>
              <w:top w:w="0" w:type="dxa"/>
              <w:left w:w="108" w:type="dxa"/>
              <w:bottom w:w="0" w:type="dxa"/>
              <w:right w:w="108" w:type="dxa"/>
            </w:tcMar>
            <w:hideMark/>
          </w:tcPr>
          <w:p w14:paraId="0A81609C" w14:textId="77777777" w:rsidR="00A34E35" w:rsidRPr="00287574" w:rsidRDefault="00A34E35" w:rsidP="000B6D40">
            <w:pPr>
              <w:spacing w:after="120"/>
              <w:jc w:val="center"/>
              <w:rPr>
                <w:rFonts w:cs="Arial"/>
                <w:b/>
                <w:bCs/>
                <w:color w:val="auto"/>
                <w:sz w:val="18"/>
                <w:szCs w:val="18"/>
              </w:rPr>
            </w:pPr>
            <w:r w:rsidRPr="00287574">
              <w:rPr>
                <w:b/>
                <w:bCs/>
                <w:color w:val="auto"/>
                <w:sz w:val="18"/>
                <w:szCs w:val="18"/>
              </w:rPr>
              <w:t>Sélection du dispositif de protection contre les courants de défaut</w:t>
            </w:r>
          </w:p>
        </w:tc>
      </w:tr>
      <w:tr w:rsidR="007A2D90" w:rsidRPr="00287574" w14:paraId="144D4DE5" w14:textId="77777777" w:rsidTr="000B6D40">
        <w:trPr>
          <w:trHeight w:val="1217"/>
        </w:trPr>
        <w:tc>
          <w:tcPr>
            <w:tcW w:w="3818" w:type="dxa"/>
            <w:gridSpan w:val="2"/>
            <w:tcBorders>
              <w:top w:val="single" w:sz="8" w:space="0" w:color="auto"/>
              <w:left w:val="single" w:sz="8" w:space="0" w:color="auto"/>
              <w:bottom w:val="nil"/>
              <w:right w:val="nil"/>
              <w:tl2br w:val="single" w:sz="8" w:space="0" w:color="auto"/>
            </w:tcBorders>
            <w:tcMar>
              <w:top w:w="0" w:type="dxa"/>
              <w:left w:w="108" w:type="dxa"/>
              <w:bottom w:w="0" w:type="dxa"/>
              <w:right w:w="108" w:type="dxa"/>
            </w:tcMar>
            <w:hideMark/>
          </w:tcPr>
          <w:p w14:paraId="7F7C4484" w14:textId="77777777" w:rsidR="007A2D90" w:rsidRPr="00287574" w:rsidRDefault="007A2D90" w:rsidP="000B6D40">
            <w:pPr>
              <w:spacing w:after="120"/>
              <w:jc w:val="right"/>
              <w:rPr>
                <w:rFonts w:cs="Arial"/>
                <w:b/>
                <w:bCs/>
                <w:color w:val="auto"/>
                <w:sz w:val="18"/>
                <w:szCs w:val="18"/>
              </w:rPr>
            </w:pPr>
            <w:r w:rsidRPr="00287574">
              <w:rPr>
                <w:b/>
                <w:bCs/>
                <w:color w:val="auto"/>
                <w:sz w:val="18"/>
                <w:szCs w:val="18"/>
              </w:rPr>
              <w:t>Dispositif de protection</w:t>
            </w:r>
            <w:r w:rsidRPr="00287574">
              <w:rPr>
                <w:b/>
                <w:bCs/>
                <w:color w:val="auto"/>
                <w:sz w:val="18"/>
                <w:szCs w:val="18"/>
              </w:rPr>
              <w:br/>
              <w:t>de la station de recharge</w:t>
            </w:r>
          </w:p>
          <w:p w14:paraId="7E206E7F" w14:textId="5AE595DB" w:rsidR="007A2D90" w:rsidRPr="00287574" w:rsidRDefault="007A2D90" w:rsidP="000B6D40">
            <w:pPr>
              <w:spacing w:after="120"/>
              <w:jc w:val="left"/>
              <w:rPr>
                <w:rFonts w:cs="Arial"/>
                <w:color w:val="auto"/>
                <w:sz w:val="18"/>
                <w:szCs w:val="18"/>
              </w:rPr>
            </w:pPr>
            <w:r w:rsidRPr="00287574">
              <w:rPr>
                <w:b/>
                <w:bCs/>
                <w:color w:val="auto"/>
                <w:sz w:val="18"/>
                <w:szCs w:val="18"/>
              </w:rPr>
              <w:t>Dispositif de protection</w:t>
            </w:r>
            <w:r w:rsidRPr="00287574">
              <w:rPr>
                <w:b/>
                <w:bCs/>
                <w:color w:val="auto"/>
                <w:sz w:val="18"/>
                <w:szCs w:val="18"/>
              </w:rPr>
              <w:br/>
              <w:t>du circuit</w:t>
            </w:r>
          </w:p>
        </w:tc>
        <w:tc>
          <w:tcPr>
            <w:tcW w:w="19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D3BFBA4" w14:textId="77777777" w:rsidR="007A2D90" w:rsidRPr="00287574" w:rsidRDefault="007A2D90" w:rsidP="000B6D40">
            <w:pPr>
              <w:spacing w:after="120"/>
              <w:jc w:val="center"/>
              <w:rPr>
                <w:rFonts w:cs="Arial"/>
                <w:b/>
                <w:bCs/>
                <w:color w:val="auto"/>
                <w:sz w:val="18"/>
                <w:szCs w:val="18"/>
              </w:rPr>
            </w:pPr>
            <w:r w:rsidRPr="00287574">
              <w:rPr>
                <w:b/>
                <w:bCs/>
                <w:color w:val="auto"/>
                <w:sz w:val="18"/>
                <w:szCs w:val="18"/>
              </w:rPr>
              <w:t>Station de recharge sans disjoncteur à courant de défaut</w:t>
            </w:r>
          </w:p>
        </w:tc>
        <w:tc>
          <w:tcPr>
            <w:tcW w:w="19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31A602" w14:textId="77777777" w:rsidR="007A2D90" w:rsidRPr="00287574" w:rsidRDefault="007A2D90" w:rsidP="000B6D40">
            <w:pPr>
              <w:spacing w:after="120"/>
              <w:jc w:val="center"/>
              <w:rPr>
                <w:rFonts w:cs="Arial"/>
                <w:b/>
                <w:bCs/>
                <w:color w:val="auto"/>
                <w:sz w:val="18"/>
                <w:szCs w:val="18"/>
              </w:rPr>
            </w:pPr>
            <w:r w:rsidRPr="00287574">
              <w:rPr>
                <w:b/>
                <w:bCs/>
                <w:color w:val="auto"/>
                <w:sz w:val="18"/>
                <w:szCs w:val="18"/>
              </w:rPr>
              <w:t>Station de recharge avec détection des courants de défaut CC</w:t>
            </w:r>
          </w:p>
        </w:tc>
        <w:tc>
          <w:tcPr>
            <w:tcW w:w="19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BA75FE" w14:textId="77777777" w:rsidR="007A2D90" w:rsidRPr="00287574" w:rsidRDefault="007A2D90" w:rsidP="000B6D40">
            <w:pPr>
              <w:spacing w:after="120"/>
              <w:jc w:val="center"/>
              <w:rPr>
                <w:rFonts w:cs="Arial"/>
                <w:b/>
                <w:bCs/>
                <w:color w:val="auto"/>
                <w:sz w:val="18"/>
                <w:szCs w:val="18"/>
              </w:rPr>
            </w:pPr>
            <w:r w:rsidRPr="00287574">
              <w:rPr>
                <w:b/>
                <w:bCs/>
                <w:color w:val="auto"/>
                <w:sz w:val="18"/>
                <w:szCs w:val="18"/>
              </w:rPr>
              <w:t>Station de recharge avec disjoncteur à courant de défaut tous courants</w:t>
            </w:r>
          </w:p>
        </w:tc>
      </w:tr>
      <w:tr w:rsidR="00A34E35" w:rsidRPr="00287574" w14:paraId="40710BEF" w14:textId="77777777" w:rsidTr="00A34E35">
        <w:trPr>
          <w:trHeight w:val="320"/>
        </w:trPr>
        <w:tc>
          <w:tcPr>
            <w:tcW w:w="1833" w:type="dxa"/>
            <w:vMerge w:val="restart"/>
            <w:tcBorders>
              <w:top w:val="single" w:sz="8" w:space="0" w:color="auto"/>
              <w:left w:val="single" w:sz="8" w:space="0" w:color="auto"/>
              <w:right w:val="nil"/>
            </w:tcBorders>
            <w:noWrap/>
            <w:tcMar>
              <w:top w:w="0" w:type="dxa"/>
              <w:left w:w="108" w:type="dxa"/>
              <w:bottom w:w="0" w:type="dxa"/>
              <w:right w:w="108" w:type="dxa"/>
            </w:tcMar>
            <w:vAlign w:val="center"/>
            <w:hideMark/>
          </w:tcPr>
          <w:p w14:paraId="74B1FBA4" w14:textId="77777777" w:rsidR="00A34E35" w:rsidRPr="00287574" w:rsidRDefault="00A34E35" w:rsidP="000B6D40">
            <w:pPr>
              <w:spacing w:after="120"/>
              <w:jc w:val="center"/>
              <w:rPr>
                <w:rFonts w:cs="Arial"/>
                <w:color w:val="auto"/>
                <w:sz w:val="18"/>
                <w:szCs w:val="18"/>
              </w:rPr>
            </w:pPr>
            <w:r w:rsidRPr="00287574">
              <w:rPr>
                <w:color w:val="auto"/>
                <w:sz w:val="18"/>
                <w:szCs w:val="18"/>
              </w:rPr>
              <w:t>Dispositif de protection dans la station de recharge</w:t>
            </w:r>
          </w:p>
        </w:tc>
        <w:tc>
          <w:tcPr>
            <w:tcW w:w="19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B0FBE48" w14:textId="77777777" w:rsidR="00A34E35" w:rsidRPr="00287574" w:rsidRDefault="00A34E35" w:rsidP="000B6D40">
            <w:pPr>
              <w:spacing w:after="120"/>
              <w:rPr>
                <w:rFonts w:cs="Arial"/>
                <w:color w:val="auto"/>
                <w:sz w:val="18"/>
                <w:szCs w:val="18"/>
              </w:rPr>
            </w:pPr>
            <w:r w:rsidRPr="00287574">
              <w:rPr>
                <w:color w:val="auto"/>
                <w:sz w:val="18"/>
                <w:szCs w:val="18"/>
              </w:rPr>
              <w:t>RCD</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03CC29" w14:textId="77777777" w:rsidR="00A34E35" w:rsidRPr="00287574" w:rsidRDefault="00A34E35" w:rsidP="000B6D40">
            <w:pPr>
              <w:spacing w:after="120"/>
              <w:jc w:val="center"/>
              <w:rPr>
                <w:rFonts w:cs="Arial"/>
                <w:color w:val="auto"/>
                <w:sz w:val="18"/>
                <w:szCs w:val="18"/>
              </w:rPr>
            </w:pPr>
            <w:r w:rsidRPr="00287574">
              <w:rPr>
                <w:color w:val="auto"/>
                <w:sz w:val="18"/>
                <w:szCs w:val="18"/>
              </w:rPr>
              <w:t>Non</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BC3269" w14:textId="77777777" w:rsidR="00A34E35" w:rsidRPr="00287574" w:rsidRDefault="00A34E35" w:rsidP="000B6D40">
            <w:pPr>
              <w:spacing w:after="120"/>
              <w:jc w:val="center"/>
              <w:rPr>
                <w:rFonts w:cs="Arial"/>
                <w:color w:val="auto"/>
                <w:sz w:val="18"/>
                <w:szCs w:val="18"/>
              </w:rPr>
            </w:pPr>
            <w:r w:rsidRPr="00287574">
              <w:rPr>
                <w:color w:val="auto"/>
                <w:sz w:val="18"/>
                <w:szCs w:val="18"/>
              </w:rPr>
              <w:t>Non</w:t>
            </w:r>
          </w:p>
        </w:tc>
        <w:tc>
          <w:tcPr>
            <w:tcW w:w="1908" w:type="dxa"/>
            <w:vMerge w:val="restart"/>
            <w:tcBorders>
              <w:top w:val="nil"/>
              <w:left w:val="nil"/>
              <w:bottom w:val="nil"/>
              <w:right w:val="single" w:sz="8" w:space="0" w:color="auto"/>
            </w:tcBorders>
            <w:tcMar>
              <w:top w:w="0" w:type="dxa"/>
              <w:left w:w="108" w:type="dxa"/>
              <w:bottom w:w="0" w:type="dxa"/>
              <w:right w:w="108" w:type="dxa"/>
            </w:tcMar>
            <w:vAlign w:val="center"/>
            <w:hideMark/>
          </w:tcPr>
          <w:p w14:paraId="50E6C71A" w14:textId="77777777" w:rsidR="00A34E35" w:rsidRPr="00287574" w:rsidRDefault="00A34E35" w:rsidP="000B6D40">
            <w:pPr>
              <w:spacing w:after="120"/>
              <w:jc w:val="center"/>
              <w:rPr>
                <w:rFonts w:cs="Arial"/>
                <w:color w:val="auto"/>
                <w:sz w:val="18"/>
                <w:szCs w:val="18"/>
              </w:rPr>
            </w:pPr>
            <w:r w:rsidRPr="00287574">
              <w:rPr>
                <w:color w:val="auto"/>
                <w:sz w:val="18"/>
                <w:szCs w:val="18"/>
              </w:rPr>
              <w:t>Type B (30 mA) ou type A + RDC-DD</w:t>
            </w:r>
          </w:p>
        </w:tc>
      </w:tr>
      <w:tr w:rsidR="00A34E35" w:rsidRPr="00287574" w14:paraId="437AB08E" w14:textId="77777777" w:rsidTr="00A34E35">
        <w:trPr>
          <w:trHeight w:val="560"/>
        </w:trPr>
        <w:tc>
          <w:tcPr>
            <w:tcW w:w="1833" w:type="dxa"/>
            <w:vMerge/>
            <w:tcBorders>
              <w:left w:val="single" w:sz="8" w:space="0" w:color="auto"/>
              <w:bottom w:val="single" w:sz="8" w:space="0" w:color="auto"/>
              <w:right w:val="nil"/>
            </w:tcBorders>
            <w:noWrap/>
            <w:tcMar>
              <w:top w:w="0" w:type="dxa"/>
              <w:left w:w="108" w:type="dxa"/>
              <w:bottom w:w="0" w:type="dxa"/>
              <w:right w:w="108" w:type="dxa"/>
            </w:tcMar>
            <w:hideMark/>
          </w:tcPr>
          <w:p w14:paraId="4BE3A159" w14:textId="2B4588CF" w:rsidR="00A34E35" w:rsidRPr="00287574" w:rsidRDefault="00A34E35" w:rsidP="000B6D40">
            <w:pPr>
              <w:spacing w:after="120"/>
              <w:rPr>
                <w:rFonts w:cs="Arial"/>
                <w:color w:val="auto"/>
                <w:sz w:val="18"/>
                <w:szCs w:val="18"/>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76B19EC8" w14:textId="77777777" w:rsidR="00A34E35" w:rsidRPr="00287574" w:rsidRDefault="00A34E35" w:rsidP="000B6D40">
            <w:pPr>
              <w:spacing w:after="120"/>
              <w:rPr>
                <w:rFonts w:cs="Arial"/>
                <w:color w:val="auto"/>
                <w:sz w:val="18"/>
                <w:szCs w:val="18"/>
              </w:rPr>
            </w:pPr>
            <w:r w:rsidRPr="00287574">
              <w:rPr>
                <w:color w:val="auto"/>
                <w:sz w:val="18"/>
                <w:szCs w:val="18"/>
              </w:rPr>
              <w:t>Surveillance du courant de défaut CC (RDC-DD)</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255B7D" w14:textId="77777777" w:rsidR="00A34E35" w:rsidRPr="00287574" w:rsidRDefault="00A34E35" w:rsidP="000B6D40">
            <w:pPr>
              <w:spacing w:after="120"/>
              <w:jc w:val="center"/>
              <w:rPr>
                <w:rFonts w:cs="Arial"/>
                <w:color w:val="auto"/>
                <w:sz w:val="18"/>
                <w:szCs w:val="18"/>
              </w:rPr>
            </w:pPr>
            <w:r w:rsidRPr="00287574">
              <w:rPr>
                <w:color w:val="auto"/>
                <w:sz w:val="18"/>
                <w:szCs w:val="18"/>
              </w:rPr>
              <w:t>Non</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339591" w14:textId="77777777" w:rsidR="00A34E35" w:rsidRPr="00287574" w:rsidRDefault="00A34E35" w:rsidP="000B6D40">
            <w:pPr>
              <w:spacing w:after="120"/>
              <w:jc w:val="center"/>
              <w:rPr>
                <w:rFonts w:cs="Arial"/>
                <w:color w:val="auto"/>
                <w:sz w:val="18"/>
                <w:szCs w:val="18"/>
              </w:rPr>
            </w:pPr>
            <w:r w:rsidRPr="00287574">
              <w:rPr>
                <w:color w:val="auto"/>
                <w:sz w:val="18"/>
                <w:szCs w:val="18"/>
              </w:rPr>
              <w:t>Oui</w:t>
            </w:r>
          </w:p>
        </w:tc>
        <w:tc>
          <w:tcPr>
            <w:tcW w:w="1908" w:type="dxa"/>
            <w:vMerge/>
            <w:tcBorders>
              <w:top w:val="nil"/>
              <w:left w:val="nil"/>
              <w:bottom w:val="single" w:sz="8" w:space="0" w:color="auto"/>
              <w:right w:val="single" w:sz="8" w:space="0" w:color="auto"/>
            </w:tcBorders>
            <w:vAlign w:val="center"/>
            <w:hideMark/>
          </w:tcPr>
          <w:p w14:paraId="48FD9645" w14:textId="77777777" w:rsidR="00A34E35" w:rsidRPr="00287574" w:rsidRDefault="00A34E35" w:rsidP="000B6D40">
            <w:pPr>
              <w:spacing w:after="120"/>
              <w:jc w:val="center"/>
              <w:rPr>
                <w:rFonts w:eastAsiaTheme="minorHAnsi" w:cs="Arial"/>
                <w:color w:val="auto"/>
                <w:sz w:val="18"/>
                <w:szCs w:val="18"/>
              </w:rPr>
            </w:pPr>
          </w:p>
        </w:tc>
      </w:tr>
      <w:tr w:rsidR="00A34E35" w:rsidRPr="00287574" w14:paraId="4E73DFCB" w14:textId="77777777" w:rsidTr="00A34E35">
        <w:trPr>
          <w:trHeight w:val="320"/>
        </w:trPr>
        <w:tc>
          <w:tcPr>
            <w:tcW w:w="1833" w:type="dxa"/>
            <w:vMerge w:val="restart"/>
            <w:tcBorders>
              <w:top w:val="single" w:sz="8" w:space="0" w:color="auto"/>
              <w:left w:val="single" w:sz="8" w:space="0" w:color="auto"/>
              <w:right w:val="nil"/>
            </w:tcBorders>
            <w:noWrap/>
            <w:tcMar>
              <w:top w:w="0" w:type="dxa"/>
              <w:left w:w="108" w:type="dxa"/>
              <w:bottom w:w="0" w:type="dxa"/>
              <w:right w:w="108" w:type="dxa"/>
            </w:tcMar>
            <w:vAlign w:val="center"/>
            <w:hideMark/>
          </w:tcPr>
          <w:p w14:paraId="4E52FAD2" w14:textId="77777777" w:rsidR="00A34E35" w:rsidRPr="00287574" w:rsidRDefault="00A34E35" w:rsidP="000B6D40">
            <w:pPr>
              <w:spacing w:after="120"/>
              <w:jc w:val="center"/>
              <w:rPr>
                <w:rFonts w:cs="Arial"/>
                <w:color w:val="auto"/>
                <w:sz w:val="18"/>
                <w:szCs w:val="18"/>
              </w:rPr>
            </w:pPr>
            <w:r w:rsidRPr="00287574">
              <w:rPr>
                <w:color w:val="auto"/>
                <w:sz w:val="18"/>
                <w:szCs w:val="18"/>
              </w:rPr>
              <w:t>Sensibilité aux courants de défaut</w:t>
            </w:r>
          </w:p>
        </w:tc>
        <w:tc>
          <w:tcPr>
            <w:tcW w:w="19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606D23C0" w14:textId="77777777" w:rsidR="00A34E35" w:rsidRPr="00287574" w:rsidRDefault="00A34E35" w:rsidP="000B6D40">
            <w:pPr>
              <w:spacing w:after="120"/>
              <w:rPr>
                <w:rFonts w:cs="Arial"/>
                <w:color w:val="auto"/>
                <w:sz w:val="18"/>
                <w:szCs w:val="18"/>
              </w:rPr>
            </w:pPr>
            <w:r w:rsidRPr="00287574">
              <w:rPr>
                <w:color w:val="auto"/>
                <w:sz w:val="18"/>
                <w:szCs w:val="18"/>
              </w:rPr>
              <w:t>CA</w:t>
            </w:r>
          </w:p>
        </w:tc>
        <w:tc>
          <w:tcPr>
            <w:tcW w:w="19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01784E" w14:textId="77777777" w:rsidR="00A34E35" w:rsidRPr="00287574" w:rsidRDefault="00A34E35" w:rsidP="000B6D40">
            <w:pPr>
              <w:spacing w:after="120"/>
              <w:jc w:val="center"/>
              <w:rPr>
                <w:rFonts w:cs="Arial"/>
                <w:color w:val="auto"/>
                <w:sz w:val="18"/>
                <w:szCs w:val="18"/>
              </w:rPr>
            </w:pPr>
            <w:r w:rsidRPr="00287574">
              <w:rPr>
                <w:color w:val="auto"/>
                <w:sz w:val="18"/>
                <w:szCs w:val="18"/>
              </w:rPr>
              <w:t>Non</w:t>
            </w:r>
          </w:p>
        </w:tc>
        <w:tc>
          <w:tcPr>
            <w:tcW w:w="19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713655" w14:textId="77777777" w:rsidR="00A34E35" w:rsidRPr="00287574" w:rsidRDefault="00A34E35" w:rsidP="000B6D40">
            <w:pPr>
              <w:spacing w:after="120"/>
              <w:jc w:val="center"/>
              <w:rPr>
                <w:rFonts w:cs="Arial"/>
                <w:color w:val="auto"/>
                <w:sz w:val="18"/>
                <w:szCs w:val="18"/>
              </w:rPr>
            </w:pPr>
            <w:r w:rsidRPr="00287574">
              <w:rPr>
                <w:color w:val="auto"/>
                <w:sz w:val="18"/>
                <w:szCs w:val="18"/>
              </w:rPr>
              <w:t>Non</w:t>
            </w:r>
          </w:p>
        </w:tc>
        <w:tc>
          <w:tcPr>
            <w:tcW w:w="19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E273B" w14:textId="77777777" w:rsidR="00A34E35" w:rsidRPr="00287574" w:rsidRDefault="00A34E35" w:rsidP="000B6D40">
            <w:pPr>
              <w:spacing w:after="120"/>
              <w:jc w:val="center"/>
              <w:rPr>
                <w:rFonts w:cs="Arial"/>
                <w:color w:val="auto"/>
                <w:sz w:val="18"/>
                <w:szCs w:val="18"/>
              </w:rPr>
            </w:pPr>
            <w:r w:rsidRPr="00287574">
              <w:rPr>
                <w:color w:val="auto"/>
                <w:sz w:val="18"/>
                <w:szCs w:val="18"/>
              </w:rPr>
              <w:t>Oui</w:t>
            </w:r>
          </w:p>
        </w:tc>
      </w:tr>
      <w:tr w:rsidR="00A34E35" w:rsidRPr="00287574" w14:paraId="37901C3C" w14:textId="77777777" w:rsidTr="00A34E35">
        <w:trPr>
          <w:trHeight w:val="320"/>
        </w:trPr>
        <w:tc>
          <w:tcPr>
            <w:tcW w:w="1833" w:type="dxa"/>
            <w:vMerge/>
            <w:tcBorders>
              <w:left w:val="single" w:sz="8" w:space="0" w:color="auto"/>
              <w:bottom w:val="single" w:sz="8" w:space="0" w:color="auto"/>
              <w:right w:val="nil"/>
            </w:tcBorders>
            <w:noWrap/>
            <w:tcMar>
              <w:top w:w="0" w:type="dxa"/>
              <w:left w:w="108" w:type="dxa"/>
              <w:bottom w:w="0" w:type="dxa"/>
              <w:right w:w="108" w:type="dxa"/>
            </w:tcMar>
            <w:hideMark/>
          </w:tcPr>
          <w:p w14:paraId="4E5D5506" w14:textId="259E4192" w:rsidR="00A34E35" w:rsidRPr="00287574" w:rsidRDefault="00A34E35" w:rsidP="000B6D40">
            <w:pPr>
              <w:spacing w:after="120"/>
              <w:rPr>
                <w:rFonts w:cs="Arial"/>
                <w:color w:val="auto"/>
                <w:sz w:val="18"/>
                <w:szCs w:val="18"/>
              </w:rPr>
            </w:pPr>
          </w:p>
        </w:tc>
        <w:tc>
          <w:tcPr>
            <w:tcW w:w="1985" w:type="dxa"/>
            <w:tcBorders>
              <w:top w:val="nil"/>
              <w:left w:val="nil"/>
              <w:bottom w:val="single" w:sz="8" w:space="0" w:color="auto"/>
              <w:right w:val="single" w:sz="8" w:space="0" w:color="auto"/>
            </w:tcBorders>
            <w:noWrap/>
            <w:tcMar>
              <w:top w:w="0" w:type="dxa"/>
              <w:left w:w="108" w:type="dxa"/>
              <w:bottom w:w="0" w:type="dxa"/>
              <w:right w:w="108" w:type="dxa"/>
            </w:tcMar>
            <w:hideMark/>
          </w:tcPr>
          <w:p w14:paraId="6D939EB2" w14:textId="77777777" w:rsidR="00A34E35" w:rsidRPr="00287574" w:rsidRDefault="00A34E35" w:rsidP="000B6D40">
            <w:pPr>
              <w:spacing w:after="120"/>
              <w:rPr>
                <w:rFonts w:cs="Arial"/>
                <w:color w:val="auto"/>
                <w:sz w:val="18"/>
                <w:szCs w:val="18"/>
              </w:rPr>
            </w:pPr>
            <w:r w:rsidRPr="00287574">
              <w:rPr>
                <w:color w:val="auto"/>
                <w:sz w:val="18"/>
                <w:szCs w:val="18"/>
              </w:rPr>
              <w:t>CC</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3BF27F" w14:textId="77777777" w:rsidR="00A34E35" w:rsidRPr="00287574" w:rsidRDefault="00A34E35" w:rsidP="000B6D40">
            <w:pPr>
              <w:spacing w:after="120"/>
              <w:jc w:val="center"/>
              <w:rPr>
                <w:rFonts w:cs="Arial"/>
                <w:color w:val="auto"/>
                <w:sz w:val="18"/>
                <w:szCs w:val="18"/>
              </w:rPr>
            </w:pPr>
            <w:r w:rsidRPr="00287574">
              <w:rPr>
                <w:color w:val="auto"/>
                <w:sz w:val="18"/>
                <w:szCs w:val="18"/>
              </w:rPr>
              <w:t>Non</w:t>
            </w:r>
          </w:p>
        </w:tc>
        <w:tc>
          <w:tcPr>
            <w:tcW w:w="19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D2D844" w14:textId="77777777" w:rsidR="00A34E35" w:rsidRPr="00287574" w:rsidRDefault="00A34E35" w:rsidP="000B6D40">
            <w:pPr>
              <w:spacing w:after="120"/>
              <w:jc w:val="center"/>
              <w:rPr>
                <w:rFonts w:cs="Arial"/>
                <w:color w:val="auto"/>
                <w:sz w:val="18"/>
                <w:szCs w:val="18"/>
              </w:rPr>
            </w:pPr>
            <w:r w:rsidRPr="00287574">
              <w:rPr>
                <w:color w:val="auto"/>
                <w:sz w:val="18"/>
                <w:szCs w:val="18"/>
              </w:rPr>
              <w:t>Oui</w:t>
            </w:r>
          </w:p>
        </w:tc>
        <w:tc>
          <w:tcPr>
            <w:tcW w:w="19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BF7248" w14:textId="77777777" w:rsidR="00A34E35" w:rsidRPr="00287574" w:rsidRDefault="00A34E35" w:rsidP="000B6D40">
            <w:pPr>
              <w:spacing w:after="120"/>
              <w:jc w:val="center"/>
              <w:rPr>
                <w:rFonts w:cs="Arial"/>
                <w:color w:val="auto"/>
                <w:sz w:val="18"/>
                <w:szCs w:val="18"/>
              </w:rPr>
            </w:pPr>
            <w:r w:rsidRPr="00287574">
              <w:rPr>
                <w:color w:val="auto"/>
                <w:sz w:val="18"/>
                <w:szCs w:val="18"/>
              </w:rPr>
              <w:t>Oui</w:t>
            </w:r>
          </w:p>
        </w:tc>
      </w:tr>
      <w:tr w:rsidR="00A34E35" w:rsidRPr="00287574" w14:paraId="4F5F28BF" w14:textId="77777777" w:rsidTr="00A34E35">
        <w:trPr>
          <w:trHeight w:val="560"/>
        </w:trPr>
        <w:tc>
          <w:tcPr>
            <w:tcW w:w="1833" w:type="dxa"/>
            <w:vMerge w:val="restart"/>
            <w:tcBorders>
              <w:top w:val="single" w:sz="8" w:space="0" w:color="auto"/>
              <w:left w:val="single" w:sz="8" w:space="0" w:color="auto"/>
              <w:right w:val="nil"/>
            </w:tcBorders>
            <w:noWrap/>
            <w:tcMar>
              <w:top w:w="0" w:type="dxa"/>
              <w:left w:w="108" w:type="dxa"/>
              <w:bottom w:w="0" w:type="dxa"/>
              <w:right w:w="108" w:type="dxa"/>
            </w:tcMar>
            <w:vAlign w:val="center"/>
            <w:hideMark/>
          </w:tcPr>
          <w:p w14:paraId="69355BB6" w14:textId="77777777" w:rsidR="00A34E35" w:rsidRPr="00287574" w:rsidRDefault="00A34E35" w:rsidP="000B6D40">
            <w:pPr>
              <w:spacing w:after="120"/>
              <w:jc w:val="center"/>
              <w:rPr>
                <w:rFonts w:cs="Arial"/>
                <w:color w:val="auto"/>
                <w:sz w:val="18"/>
                <w:szCs w:val="18"/>
              </w:rPr>
            </w:pPr>
            <w:r w:rsidRPr="00287574">
              <w:rPr>
                <w:color w:val="auto"/>
                <w:sz w:val="18"/>
                <w:szCs w:val="18"/>
              </w:rPr>
              <w:t>RCD (TGBT)</w:t>
            </w:r>
          </w:p>
        </w:tc>
        <w:tc>
          <w:tcPr>
            <w:tcW w:w="198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3F0C4788" w14:textId="77777777" w:rsidR="00A34E35" w:rsidRPr="00287574" w:rsidRDefault="00A34E35" w:rsidP="000B6D40">
            <w:pPr>
              <w:spacing w:after="120"/>
              <w:rPr>
                <w:rFonts w:cs="Arial"/>
                <w:color w:val="auto"/>
                <w:sz w:val="18"/>
                <w:szCs w:val="18"/>
              </w:rPr>
            </w:pPr>
            <w:proofErr w:type="gramStart"/>
            <w:r w:rsidRPr="00287574">
              <w:rPr>
                <w:color w:val="auto"/>
                <w:sz w:val="18"/>
                <w:szCs w:val="18"/>
              </w:rPr>
              <w:t>par</w:t>
            </w:r>
            <w:proofErr w:type="gramEnd"/>
            <w:r w:rsidRPr="00287574">
              <w:rPr>
                <w:color w:val="auto"/>
                <w:sz w:val="18"/>
                <w:szCs w:val="18"/>
              </w:rPr>
              <w:t xml:space="preserve"> point de recharge</w:t>
            </w:r>
          </w:p>
        </w:tc>
        <w:tc>
          <w:tcPr>
            <w:tcW w:w="19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211442" w14:textId="77BB0A05" w:rsidR="00A34E35" w:rsidRPr="00287574" w:rsidRDefault="00A34E35" w:rsidP="00B32C58">
            <w:pPr>
              <w:spacing w:after="120"/>
              <w:jc w:val="center"/>
              <w:rPr>
                <w:rFonts w:cs="Arial"/>
                <w:color w:val="auto"/>
                <w:sz w:val="18"/>
                <w:szCs w:val="18"/>
              </w:rPr>
            </w:pPr>
            <w:r w:rsidRPr="00287574">
              <w:rPr>
                <w:color w:val="auto"/>
                <w:sz w:val="18"/>
                <w:szCs w:val="18"/>
              </w:rPr>
              <w:t>Type B (30 mA) ou type A « EV » (30 mA)</w:t>
            </w:r>
          </w:p>
        </w:tc>
        <w:tc>
          <w:tcPr>
            <w:tcW w:w="19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112F85F" w14:textId="77777777" w:rsidR="00A34E35" w:rsidRPr="00287574" w:rsidRDefault="00A34E35" w:rsidP="000B6D40">
            <w:pPr>
              <w:spacing w:after="120"/>
              <w:jc w:val="center"/>
              <w:rPr>
                <w:rFonts w:cs="Arial"/>
                <w:color w:val="auto"/>
                <w:sz w:val="18"/>
                <w:szCs w:val="18"/>
              </w:rPr>
            </w:pPr>
            <w:r w:rsidRPr="00287574">
              <w:rPr>
                <w:color w:val="auto"/>
                <w:sz w:val="18"/>
                <w:szCs w:val="18"/>
              </w:rPr>
              <w:t>Type A (30 mA)</w:t>
            </w:r>
          </w:p>
        </w:tc>
        <w:tc>
          <w:tcPr>
            <w:tcW w:w="190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FCF50E4" w14:textId="77777777" w:rsidR="00A34E35" w:rsidRPr="00287574" w:rsidRDefault="00A34E35" w:rsidP="000B6D40">
            <w:pPr>
              <w:spacing w:after="120"/>
              <w:jc w:val="center"/>
              <w:rPr>
                <w:rFonts w:cs="Arial"/>
                <w:color w:val="auto"/>
                <w:sz w:val="18"/>
                <w:szCs w:val="18"/>
              </w:rPr>
            </w:pPr>
            <w:r w:rsidRPr="00287574">
              <w:rPr>
                <w:color w:val="auto"/>
                <w:sz w:val="18"/>
                <w:szCs w:val="18"/>
              </w:rPr>
              <w:t>Inutile</w:t>
            </w:r>
          </w:p>
        </w:tc>
      </w:tr>
      <w:tr w:rsidR="00A34E35" w:rsidRPr="00287574" w14:paraId="14D2C266" w14:textId="77777777" w:rsidTr="00A34E35">
        <w:trPr>
          <w:trHeight w:val="780"/>
        </w:trPr>
        <w:tc>
          <w:tcPr>
            <w:tcW w:w="1833" w:type="dxa"/>
            <w:vMerge/>
            <w:tcBorders>
              <w:left w:val="single" w:sz="8" w:space="0" w:color="auto"/>
              <w:bottom w:val="single" w:sz="8" w:space="0" w:color="auto"/>
              <w:right w:val="nil"/>
            </w:tcBorders>
            <w:noWrap/>
            <w:tcMar>
              <w:top w:w="0" w:type="dxa"/>
              <w:left w:w="108" w:type="dxa"/>
              <w:bottom w:w="0" w:type="dxa"/>
              <w:right w:w="108" w:type="dxa"/>
            </w:tcMar>
            <w:vAlign w:val="center"/>
            <w:hideMark/>
          </w:tcPr>
          <w:p w14:paraId="10AB1336" w14:textId="434645BF" w:rsidR="00A34E35" w:rsidRPr="00287574" w:rsidRDefault="00A34E35" w:rsidP="000B6D40">
            <w:pPr>
              <w:spacing w:after="120"/>
              <w:jc w:val="center"/>
              <w:rPr>
                <w:rFonts w:cs="Arial"/>
                <w:color w:val="auto"/>
                <w:sz w:val="18"/>
                <w:szCs w:val="18"/>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0E0CC0B5" w14:textId="77777777" w:rsidR="00A34E35" w:rsidRPr="00287574" w:rsidRDefault="00A34E35" w:rsidP="000B6D40">
            <w:pPr>
              <w:spacing w:after="120"/>
              <w:rPr>
                <w:rFonts w:cs="Arial"/>
                <w:color w:val="auto"/>
                <w:sz w:val="18"/>
                <w:szCs w:val="18"/>
              </w:rPr>
            </w:pPr>
            <w:proofErr w:type="gramStart"/>
            <w:r w:rsidRPr="00287574">
              <w:rPr>
                <w:color w:val="auto"/>
                <w:sz w:val="18"/>
                <w:szCs w:val="18"/>
              </w:rPr>
              <w:t>en</w:t>
            </w:r>
            <w:proofErr w:type="gramEnd"/>
            <w:r w:rsidRPr="00287574">
              <w:rPr>
                <w:color w:val="auto"/>
                <w:sz w:val="18"/>
                <w:szCs w:val="18"/>
              </w:rPr>
              <w:t xml:space="preserve"> amont, sur plusieurs points de recharge</w:t>
            </w:r>
          </w:p>
        </w:tc>
        <w:tc>
          <w:tcPr>
            <w:tcW w:w="5722" w:type="dxa"/>
            <w:gridSpan w:val="3"/>
            <w:tcBorders>
              <w:top w:val="nil"/>
              <w:left w:val="nil"/>
              <w:bottom w:val="single" w:sz="8" w:space="0" w:color="auto"/>
              <w:right w:val="single" w:sz="8" w:space="0" w:color="000000"/>
            </w:tcBorders>
            <w:tcMar>
              <w:top w:w="0" w:type="dxa"/>
              <w:left w:w="108" w:type="dxa"/>
              <w:bottom w:w="0" w:type="dxa"/>
              <w:right w:w="108" w:type="dxa"/>
            </w:tcMar>
            <w:vAlign w:val="center"/>
            <w:hideMark/>
          </w:tcPr>
          <w:p w14:paraId="1A499B2D" w14:textId="77777777" w:rsidR="00A34E35" w:rsidRPr="00287574" w:rsidRDefault="00A34E35" w:rsidP="000B6D40">
            <w:pPr>
              <w:spacing w:after="120"/>
              <w:jc w:val="center"/>
              <w:rPr>
                <w:rFonts w:cs="Arial"/>
                <w:color w:val="auto"/>
                <w:sz w:val="18"/>
                <w:szCs w:val="18"/>
              </w:rPr>
            </w:pPr>
            <w:r w:rsidRPr="00287574">
              <w:rPr>
                <w:color w:val="auto"/>
                <w:sz w:val="18"/>
                <w:szCs w:val="18"/>
              </w:rPr>
              <w:t>Type B, 300 mA</w:t>
            </w:r>
          </w:p>
        </w:tc>
      </w:tr>
    </w:tbl>
    <w:p w14:paraId="14C8533C" w14:textId="77777777" w:rsidR="00CF7C5D" w:rsidRPr="00287574" w:rsidRDefault="00CF7C5D" w:rsidP="00CF7C5D">
      <w:pPr>
        <w:pStyle w:val="freerow"/>
        <w:rPr>
          <w:rFonts w:ascii="Arial" w:hAnsi="Arial" w:cs="Arial"/>
        </w:rPr>
      </w:pPr>
    </w:p>
    <w:p w14:paraId="642DEB9A" w14:textId="669F3BA0" w:rsidR="00CF7C5D" w:rsidRPr="00287574" w:rsidRDefault="00CF7C5D" w:rsidP="00955C85">
      <w:pPr>
        <w:pStyle w:val="Titre3"/>
      </w:pPr>
      <w:bookmarkStart w:id="72" w:name="_Toc22731558"/>
      <w:bookmarkStart w:id="73" w:name="_Toc37844171"/>
      <w:bookmarkStart w:id="74" w:name="_Toc40432346"/>
      <w:r w:rsidRPr="00287574">
        <w:lastRenderedPageBreak/>
        <w:t>Protection contre la foudre et les surtensions</w:t>
      </w:r>
      <w:bookmarkEnd w:id="72"/>
      <w:bookmarkEnd w:id="73"/>
      <w:bookmarkEnd w:id="74"/>
    </w:p>
    <w:p w14:paraId="50B465BC" w14:textId="3550EB9A" w:rsidR="00CF7C5D" w:rsidRPr="00287574" w:rsidRDefault="00CF7C5D" w:rsidP="00CF7C5D">
      <w:pPr>
        <w:rPr>
          <w:rFonts w:cs="Arial"/>
          <w:color w:val="auto"/>
        </w:rPr>
      </w:pPr>
      <w:r w:rsidRPr="00287574">
        <w:rPr>
          <w:color w:val="auto"/>
        </w:rPr>
        <w:t>Pour protéger les dispositifs de recharge contre les surtensions qui peuvent survenir dans une installation électrique fixe, une protection conforme à la norme DIN VDE 0100-443 doit être prévue. Les dispositifs de protection requis pour cela doivent être choisis conformément à la norme DIN VDE 0100-534 et doivent répondre aux exigences en matière de coordination de l'isolement.</w:t>
      </w:r>
    </w:p>
    <w:p w14:paraId="33AFC1A0" w14:textId="7C6B48E2" w:rsidR="00CF7C5D" w:rsidRPr="00287574" w:rsidRDefault="00CF7C5D" w:rsidP="00CF7C5D">
      <w:pPr>
        <w:rPr>
          <w:rFonts w:cs="Arial"/>
          <w:color w:val="auto"/>
        </w:rPr>
      </w:pPr>
      <w:r w:rsidRPr="00287574">
        <w:rPr>
          <w:color w:val="auto"/>
        </w:rPr>
        <w:t xml:space="preserve">Dans les bâtiments déjà dotés d'un système parafoudre, il convient de vérifier que le parafoudre interne est conforme aux normes DIN EN 62305-3 et DIN EN 62305-4 et </w:t>
      </w:r>
      <w:r w:rsidR="00D52910">
        <w:rPr>
          <w:color w:val="auto"/>
        </w:rPr>
        <w:t>d’évaluer les</w:t>
      </w:r>
      <w:r w:rsidR="00D52910" w:rsidRPr="00287574">
        <w:rPr>
          <w:color w:val="auto"/>
        </w:rPr>
        <w:t xml:space="preserve"> </w:t>
      </w:r>
      <w:r w:rsidRPr="00287574">
        <w:rPr>
          <w:color w:val="auto"/>
        </w:rPr>
        <w:t xml:space="preserve">améliorations </w:t>
      </w:r>
      <w:r w:rsidR="00D52910">
        <w:rPr>
          <w:color w:val="auto"/>
        </w:rPr>
        <w:t xml:space="preserve">qui </w:t>
      </w:r>
      <w:r w:rsidRPr="00287574">
        <w:rPr>
          <w:color w:val="auto"/>
        </w:rPr>
        <w:t>sont éventuellement nécessaires. La coordination des dispositifs de protection contre les surtensions conformément à la norme DIN EN 62305-4 dans un concept parafoudre existant doit être vérifiée.</w:t>
      </w:r>
    </w:p>
    <w:p w14:paraId="78A3F947" w14:textId="5D7C5F9F" w:rsidR="00CF7C5D" w:rsidRPr="00287574" w:rsidRDefault="00CF7C5D" w:rsidP="00CF7C5D">
      <w:pPr>
        <w:rPr>
          <w:rFonts w:cs="Arial"/>
          <w:color w:val="auto"/>
        </w:rPr>
      </w:pPr>
      <w:r w:rsidRPr="00287574">
        <w:rPr>
          <w:color w:val="auto"/>
        </w:rPr>
        <w:t>Si aucune autre disposition ou réglementation ne s'applique, il est recommandé d'installer un limiteur de surtension (type 2) dans le répartiteur du circuit de recharge ou directement dans le dispositif de recharge (voir également la norme VDI 2166, feuille 2).</w:t>
      </w:r>
    </w:p>
    <w:p w14:paraId="459F170C" w14:textId="11A147E0" w:rsidR="00CF7C5D" w:rsidRPr="00287574" w:rsidRDefault="00CF7C5D" w:rsidP="00955C85">
      <w:pPr>
        <w:pStyle w:val="Titre3"/>
      </w:pPr>
      <w:bookmarkStart w:id="75" w:name="_Toc22731559"/>
      <w:bookmarkStart w:id="76" w:name="_Toc37844172"/>
      <w:bookmarkStart w:id="77" w:name="_Toc40432347"/>
      <w:r w:rsidRPr="00287574">
        <w:t>Compatibilité électromagnétique, perturbations du réseau</w:t>
      </w:r>
      <w:bookmarkEnd w:id="75"/>
      <w:bookmarkEnd w:id="76"/>
      <w:bookmarkEnd w:id="77"/>
    </w:p>
    <w:p w14:paraId="034403C0" w14:textId="3AD8136B" w:rsidR="00CF7C5D" w:rsidRPr="00287574" w:rsidRDefault="00CF7C5D" w:rsidP="00CF7C5D">
      <w:pPr>
        <w:rPr>
          <w:rFonts w:cs="Arial"/>
          <w:color w:val="auto"/>
        </w:rPr>
      </w:pPr>
      <w:r w:rsidRPr="00287574">
        <w:rPr>
          <w:color w:val="auto"/>
        </w:rPr>
        <w:t xml:space="preserve">Le fonctionnement des redresseurs de charge dans les véhicules électriques crée des courants harmoniques (courants dont les fréquences correspondent à un multiple entier de la fréquence du réseau 50 Hz). Ces courants peuvent fausser la tension d'alimentation électrique de 230/400 V avec leur forme parfaitement sinusoïdale. D'autres appareils électroniques sensibles peuvent alors ne plus fonctionner correctement à </w:t>
      </w:r>
      <w:r w:rsidR="00D52910">
        <w:rPr>
          <w:color w:val="auto"/>
        </w:rPr>
        <w:t>ce niveau de</w:t>
      </w:r>
      <w:r w:rsidR="00D52910" w:rsidRPr="00287574">
        <w:rPr>
          <w:color w:val="auto"/>
        </w:rPr>
        <w:t xml:space="preserve"> </w:t>
      </w:r>
      <w:r w:rsidRPr="00287574">
        <w:rPr>
          <w:color w:val="auto"/>
        </w:rPr>
        <w:t>tension.</w:t>
      </w:r>
    </w:p>
    <w:p w14:paraId="63508ECD" w14:textId="0E6DB987" w:rsidR="00CF7C5D" w:rsidRPr="00287574" w:rsidRDefault="00CF7C5D" w:rsidP="00CF7C5D">
      <w:pPr>
        <w:rPr>
          <w:rFonts w:cs="Arial"/>
          <w:color w:val="auto"/>
        </w:rPr>
      </w:pPr>
      <w:r w:rsidRPr="00287574">
        <w:rPr>
          <w:color w:val="auto"/>
        </w:rPr>
        <w:t xml:space="preserve">Les circuits de distribution pour l'alimentation des dispositifs de recharge dans le système TN </w:t>
      </w:r>
      <w:r w:rsidR="00723497">
        <w:rPr>
          <w:color w:val="auto"/>
        </w:rPr>
        <w:t>ainsi que les circuits</w:t>
      </w:r>
      <w:r w:rsidR="00723497" w:rsidRPr="00287574">
        <w:rPr>
          <w:color w:val="auto"/>
        </w:rPr>
        <w:t xml:space="preserve"> finaux </w:t>
      </w:r>
      <w:r w:rsidRPr="00287574">
        <w:rPr>
          <w:color w:val="auto"/>
        </w:rPr>
        <w:t>doivent être mis en œuvre avec des conducteurs neutre</w:t>
      </w:r>
      <w:r w:rsidR="00723497">
        <w:rPr>
          <w:color w:val="auto"/>
        </w:rPr>
        <w:t>s</w:t>
      </w:r>
      <w:r w:rsidRPr="00287574">
        <w:rPr>
          <w:color w:val="auto"/>
        </w:rPr>
        <w:t xml:space="preserve"> et de </w:t>
      </w:r>
      <w:proofErr w:type="gramStart"/>
      <w:r w:rsidRPr="00287574">
        <w:rPr>
          <w:color w:val="auto"/>
        </w:rPr>
        <w:t>protection séparés</w:t>
      </w:r>
      <w:proofErr w:type="gramEnd"/>
      <w:r w:rsidRPr="00287574">
        <w:rPr>
          <w:color w:val="auto"/>
        </w:rPr>
        <w:t>. Les courants harmoniques alimentés par les redresseurs de charge dans les véhicules électriques avec des courants nominaux jusqu'à 16 A ne sont pas perturbateurs tant que les valeurs limites admissibles spécifiées dans la norme DIN EN 61000-3-2 ne sont pas dépassées. Les valeurs limites selon la norme DIN EN 61000-3-12 s'appliquent aux redresseurs de charge avec des courants nominaux supérieurs à 16 A.</w:t>
      </w:r>
    </w:p>
    <w:p w14:paraId="24833534" w14:textId="229DD201" w:rsidR="00CF7C5D" w:rsidRPr="00287574" w:rsidRDefault="00CF7C5D" w:rsidP="00955C85">
      <w:pPr>
        <w:pStyle w:val="Titre3"/>
      </w:pPr>
      <w:bookmarkStart w:id="78" w:name="_Toc22731560"/>
      <w:bookmarkStart w:id="79" w:name="_Toc37844173"/>
      <w:bookmarkStart w:id="80" w:name="_Toc40432348"/>
      <w:r w:rsidRPr="00287574">
        <w:t>Lutte contre l'incendie</w:t>
      </w:r>
      <w:bookmarkEnd w:id="78"/>
      <w:bookmarkEnd w:id="79"/>
      <w:bookmarkEnd w:id="80"/>
    </w:p>
    <w:p w14:paraId="589CD77E" w14:textId="02CBD72C" w:rsidR="00CF7C5D" w:rsidRPr="00287574" w:rsidRDefault="00CF7C5D" w:rsidP="00CF7C5D">
      <w:pPr>
        <w:rPr>
          <w:rFonts w:cs="Arial"/>
          <w:color w:val="auto"/>
        </w:rPr>
      </w:pPr>
      <w:r w:rsidRPr="00287574">
        <w:rPr>
          <w:color w:val="auto"/>
        </w:rPr>
        <w:t>Les mesures de sécurité liées à la lutte contre l'incendie éventuellement en vigueur (par exemple RIA, sprinklers) doivent également être respectées. Dans les immeubles de plus de 20 places de stationnement (couvertes), l'ITM (ITM-SST 1506.3</w:t>
      </w:r>
      <w:r w:rsidR="00671885" w:rsidRPr="00287574">
        <w:rPr>
          <w:rStyle w:val="Appelnotedebasdep"/>
          <w:rFonts w:cs="Arial"/>
          <w:color w:val="auto"/>
        </w:rPr>
        <w:footnoteReference w:id="8"/>
      </w:r>
      <w:r w:rsidRPr="00287574">
        <w:rPr>
          <w:color w:val="auto"/>
        </w:rPr>
        <w:t>) exige les précautions de sécurité suivantes :</w:t>
      </w:r>
    </w:p>
    <w:p w14:paraId="1403E12E" w14:textId="610A7119" w:rsidR="00CF7C5D" w:rsidRPr="00287574" w:rsidRDefault="00CF7C5D" w:rsidP="00CF7C5D">
      <w:pPr>
        <w:pStyle w:val="Paragraphedeliste"/>
        <w:rPr>
          <w:rFonts w:ascii="Arial" w:hAnsi="Arial" w:cs="Arial"/>
        </w:rPr>
      </w:pPr>
      <w:r w:rsidRPr="00287574">
        <w:rPr>
          <w:rFonts w:ascii="Arial" w:hAnsi="Arial"/>
        </w:rPr>
        <w:t>Un extincteur portatif supplémentaire pour la lutte contre l'incendie en cas de risque électrique doit être installé à proximité immédiate de la station de recharge.</w:t>
      </w:r>
    </w:p>
    <w:p w14:paraId="73E26478" w14:textId="68A1BC2D" w:rsidR="00CF7C5D" w:rsidRPr="00287574" w:rsidRDefault="005F50B0" w:rsidP="00CF7C5D">
      <w:pPr>
        <w:pStyle w:val="Paragraphedeliste"/>
        <w:rPr>
          <w:rFonts w:ascii="Arial" w:hAnsi="Arial" w:cs="Arial"/>
        </w:rPr>
      </w:pPr>
      <w:r w:rsidRPr="00287574">
        <w:rPr>
          <w:rFonts w:ascii="Arial" w:hAnsi="Arial"/>
        </w:rPr>
        <w:t>Les dispositifs de recharge et leurs câbles doivent être posés de manière à éviter tout risque de trébuchement pour les piétons (par ex. issues de secours).</w:t>
      </w:r>
    </w:p>
    <w:p w14:paraId="4F3549BA" w14:textId="1FBCF100" w:rsidR="00CF7C5D" w:rsidRPr="00287574" w:rsidRDefault="00CF7C5D" w:rsidP="00CF7C5D">
      <w:pPr>
        <w:pStyle w:val="Paragraphedeliste"/>
        <w:rPr>
          <w:rFonts w:ascii="Arial" w:hAnsi="Arial" w:cs="Arial"/>
        </w:rPr>
      </w:pPr>
      <w:r w:rsidRPr="00287574">
        <w:rPr>
          <w:rFonts w:ascii="Arial" w:hAnsi="Arial"/>
        </w:rPr>
        <w:t>Un interrupteur d'arrêt d'urgence permettant de couper l'alimentation et de déclencher l'alarme du bâtiment doit être installé à proximité immédiate des points de recharge.</w:t>
      </w:r>
    </w:p>
    <w:p w14:paraId="1317B612" w14:textId="1EEB4583" w:rsidR="00B2615A" w:rsidRPr="00287574" w:rsidRDefault="00CF7C5D" w:rsidP="00B2615A">
      <w:pPr>
        <w:pStyle w:val="Paragraphedeliste"/>
        <w:rPr>
          <w:rFonts w:ascii="Arial" w:hAnsi="Arial" w:cs="Arial"/>
        </w:rPr>
      </w:pPr>
      <w:r w:rsidRPr="00287574">
        <w:rPr>
          <w:rFonts w:ascii="Arial" w:hAnsi="Arial"/>
        </w:rPr>
        <w:lastRenderedPageBreak/>
        <w:t>De plus, chaque actionnement d'une alarme incendie et le déclenchement d'une alarme du bâtiment doivent se solder par la coupure de l'alimentation de toutes les stations de recharge.</w:t>
      </w:r>
    </w:p>
    <w:p w14:paraId="038C0EA6" w14:textId="493A91B9" w:rsidR="00CF7C5D" w:rsidRPr="00287574" w:rsidRDefault="00CF7C5D" w:rsidP="00955C85">
      <w:pPr>
        <w:pStyle w:val="Titre3"/>
      </w:pPr>
      <w:bookmarkStart w:id="81" w:name="_Toc22731561"/>
      <w:bookmarkStart w:id="82" w:name="_Toc37844174"/>
      <w:bookmarkStart w:id="83" w:name="_Toc40432349"/>
      <w:r w:rsidRPr="00287574">
        <w:t>Positionnement des stations de recharge</w:t>
      </w:r>
      <w:bookmarkEnd w:id="81"/>
      <w:bookmarkEnd w:id="82"/>
      <w:bookmarkEnd w:id="83"/>
    </w:p>
    <w:p w14:paraId="2F1A9DF1" w14:textId="0EACC337" w:rsidR="00CF7C5D" w:rsidRPr="00287574" w:rsidRDefault="00CF7C5D" w:rsidP="00CF7C5D">
      <w:pPr>
        <w:rPr>
          <w:rFonts w:cs="Arial"/>
          <w:color w:val="auto"/>
        </w:rPr>
      </w:pPr>
      <w:r w:rsidRPr="00287574">
        <w:rPr>
          <w:color w:val="auto"/>
        </w:rPr>
        <w:t xml:space="preserve">Il n'existe aucune norme pour la position de raccordement sur un véhicule. Par conséquent, selon le type du véhicule, la « position de la prise » se situe à différents endroits. Ce point doit être pris en compte lors de l'installation ou de la préparation d'une station de recharge. Les stations de recharge doivent être conçues </w:t>
      </w:r>
      <w:proofErr w:type="gramStart"/>
      <w:r w:rsidRPr="00287574">
        <w:rPr>
          <w:color w:val="auto"/>
        </w:rPr>
        <w:t>de manière à ce</w:t>
      </w:r>
      <w:proofErr w:type="gramEnd"/>
      <w:r w:rsidRPr="00287574">
        <w:rPr>
          <w:color w:val="auto"/>
        </w:rPr>
        <w:t xml:space="preserve"> que tous les véhicules puissent être rechargés, soit avec un câble fixe, soit avec un câble de charge de type 2 de 4 mètres de long fourni par le conducteur. Il convient de s'assurer que les câbles de charge peuvent être posés de manière à éviter tout risque de trébuchement, en particulier au niveau des issues de secours.</w:t>
      </w:r>
    </w:p>
    <w:p w14:paraId="05DF282F" w14:textId="56E6B4AC" w:rsidR="00CF7C5D" w:rsidRPr="00287574" w:rsidRDefault="00CF7C5D" w:rsidP="00334846">
      <w:pPr>
        <w:pStyle w:val="Titre2"/>
      </w:pPr>
      <w:bookmarkStart w:id="84" w:name="_Toc22731562"/>
      <w:bookmarkStart w:id="85" w:name="_Toc37844175"/>
      <w:bookmarkStart w:id="86" w:name="_Toc40432350"/>
      <w:r w:rsidRPr="00287574">
        <w:t>Montage du</w:t>
      </w:r>
      <w:bookmarkEnd w:id="84"/>
      <w:r w:rsidRPr="00287574">
        <w:t xml:space="preserve"> dispositif de recharge</w:t>
      </w:r>
      <w:bookmarkEnd w:id="85"/>
      <w:bookmarkEnd w:id="86"/>
    </w:p>
    <w:p w14:paraId="57B8EB40" w14:textId="650D1FCE" w:rsidR="008725D9" w:rsidRPr="00287574" w:rsidRDefault="008725D9" w:rsidP="00955C85">
      <w:pPr>
        <w:pStyle w:val="Titre3"/>
      </w:pPr>
      <w:bookmarkStart w:id="87" w:name="_Toc37844176"/>
      <w:bookmarkStart w:id="88" w:name="_Toc40432351"/>
      <w:bookmarkStart w:id="89" w:name="_Toc22731563"/>
      <w:r w:rsidRPr="00287574">
        <w:t>Enregistrement</w:t>
      </w:r>
      <w:bookmarkEnd w:id="87"/>
      <w:bookmarkEnd w:id="88"/>
    </w:p>
    <w:p w14:paraId="2DD98C4F" w14:textId="3CF4E501" w:rsidR="00B3783A" w:rsidRPr="00287574" w:rsidRDefault="00B3783A" w:rsidP="003750E9">
      <w:pPr>
        <w:rPr>
          <w:rFonts w:cs="Arial"/>
        </w:rPr>
      </w:pPr>
      <w:r w:rsidRPr="00287574">
        <w:rPr>
          <w:color w:val="auto"/>
        </w:rPr>
        <w:t>Les infrastructures de recharge monophasées pour véhicules électriques d'une puissance supérieure à 4,6 kW et les infrastructures de recharge triphasées supérieures ou égales à 7 kW doivent être enregistrées auprès du GRD et agréées par ce dernier.</w:t>
      </w:r>
    </w:p>
    <w:p w14:paraId="5D154C78" w14:textId="3F771DA4" w:rsidR="00CF7C5D" w:rsidRPr="00287574" w:rsidRDefault="00CF7C5D" w:rsidP="00955C85">
      <w:pPr>
        <w:pStyle w:val="Titre3"/>
      </w:pPr>
      <w:bookmarkStart w:id="90" w:name="_Toc30139790"/>
      <w:bookmarkStart w:id="91" w:name="_Toc37844177"/>
      <w:bookmarkStart w:id="92" w:name="_Toc40432352"/>
      <w:bookmarkEnd w:id="90"/>
      <w:r w:rsidRPr="00287574">
        <w:t>Mise en service</w:t>
      </w:r>
      <w:bookmarkEnd w:id="89"/>
      <w:bookmarkEnd w:id="91"/>
      <w:bookmarkEnd w:id="92"/>
    </w:p>
    <w:p w14:paraId="152376AE" w14:textId="56480339" w:rsidR="00CF7C5D" w:rsidRPr="00287574" w:rsidRDefault="00CF7C5D" w:rsidP="00CF7C5D">
      <w:pPr>
        <w:rPr>
          <w:rFonts w:cs="Arial"/>
          <w:color w:val="auto"/>
        </w:rPr>
      </w:pPr>
      <w:r w:rsidRPr="00287574">
        <w:rPr>
          <w:color w:val="auto"/>
        </w:rPr>
        <w:t>La mise en service doit être effectuée conformément aux indications du constructeur de l'infrastructure de recharge et en tenant compte des dispositions légales en vigueur concernant les installations électriques.</w:t>
      </w:r>
    </w:p>
    <w:p w14:paraId="0C8CB7F2" w14:textId="71B4E705" w:rsidR="00CF7C5D" w:rsidRPr="00287574" w:rsidRDefault="00CF7C5D" w:rsidP="00CF7C5D">
      <w:pPr>
        <w:rPr>
          <w:rFonts w:cs="Arial"/>
          <w:color w:val="auto"/>
        </w:rPr>
      </w:pPr>
      <w:r w:rsidRPr="00287574">
        <w:rPr>
          <w:color w:val="auto"/>
        </w:rPr>
        <w:t>Cette opération ne doit être effectuée que par un électricien agréé.</w:t>
      </w:r>
    </w:p>
    <w:p w14:paraId="440FAFF7" w14:textId="14C9C5FD" w:rsidR="008725D9" w:rsidRPr="00287574" w:rsidRDefault="008725D9" w:rsidP="00CF7C5D">
      <w:pPr>
        <w:rPr>
          <w:rFonts w:cs="Arial"/>
          <w:color w:val="auto"/>
        </w:rPr>
      </w:pPr>
      <w:r w:rsidRPr="00287574">
        <w:rPr>
          <w:color w:val="auto"/>
        </w:rPr>
        <w:t>Si le dispositif de recharge a une puissance supérieure ou égale à 7 kW, le GRD effectue un contrôle (puissance nominale de l'infrastructure de charge, test fonctionnel de délestage). Les détails de ce contrôle doivent être convenus avec le GRD concerné.</w:t>
      </w:r>
    </w:p>
    <w:p w14:paraId="0D798460" w14:textId="6C13EAF3" w:rsidR="00CF7C5D" w:rsidRPr="00287574" w:rsidRDefault="00CF7C5D" w:rsidP="00955C85">
      <w:pPr>
        <w:pStyle w:val="Titre3"/>
      </w:pPr>
      <w:bookmarkStart w:id="93" w:name="_Toc22731564"/>
      <w:bookmarkStart w:id="94" w:name="_Toc37844178"/>
      <w:bookmarkStart w:id="95" w:name="_Toc40432353"/>
      <w:r w:rsidRPr="00287574">
        <w:t>Maintenance</w:t>
      </w:r>
      <w:bookmarkEnd w:id="93"/>
      <w:bookmarkEnd w:id="94"/>
      <w:bookmarkEnd w:id="95"/>
    </w:p>
    <w:p w14:paraId="09D818F7" w14:textId="77777777" w:rsidR="00CF7C5D" w:rsidRPr="00287574" w:rsidRDefault="00CF7C5D" w:rsidP="00CF7C5D">
      <w:pPr>
        <w:rPr>
          <w:rFonts w:cs="Arial"/>
          <w:color w:val="auto"/>
        </w:rPr>
      </w:pPr>
      <w:r w:rsidRPr="00287574">
        <w:rPr>
          <w:color w:val="auto"/>
        </w:rPr>
        <w:t>La maintenance doit être effectuée conformément aux indications du constructeur de l'infrastructure de recharge et en tenant compte de la mise en service usuelle concernant les installations électriques.</w:t>
      </w:r>
    </w:p>
    <w:p w14:paraId="42427726" w14:textId="227338BA" w:rsidR="00CF7C5D" w:rsidRPr="00287574" w:rsidRDefault="00CF7C5D" w:rsidP="00CF7C5D">
      <w:pPr>
        <w:rPr>
          <w:rFonts w:cs="Arial"/>
          <w:color w:val="auto"/>
        </w:rPr>
      </w:pPr>
      <w:r w:rsidRPr="00287574">
        <w:rPr>
          <w:color w:val="auto"/>
        </w:rPr>
        <w:t xml:space="preserve">Cette opération ne </w:t>
      </w:r>
      <w:r w:rsidR="00723497">
        <w:rPr>
          <w:color w:val="auto"/>
        </w:rPr>
        <w:t>peut</w:t>
      </w:r>
      <w:r w:rsidR="00723497" w:rsidRPr="00287574">
        <w:rPr>
          <w:color w:val="auto"/>
        </w:rPr>
        <w:t xml:space="preserve"> </w:t>
      </w:r>
      <w:r w:rsidRPr="00287574">
        <w:rPr>
          <w:color w:val="auto"/>
        </w:rPr>
        <w:t>être effectuée que par du personnel qualifié, des électriciens ou, le cas échéant, le constructeur.</w:t>
      </w:r>
    </w:p>
    <w:p w14:paraId="0AE1C839" w14:textId="66285F8A" w:rsidR="00CF7C5D" w:rsidRPr="00287574" w:rsidRDefault="00CF7C5D" w:rsidP="00334846">
      <w:pPr>
        <w:pStyle w:val="Titre2"/>
      </w:pPr>
      <w:bookmarkStart w:id="96" w:name="_Toc22731565"/>
      <w:bookmarkStart w:id="97" w:name="_Toc37844179"/>
      <w:bookmarkStart w:id="98" w:name="_Toc40432354"/>
      <w:r w:rsidRPr="00287574">
        <w:t>Règles et normes techniques</w:t>
      </w:r>
      <w:bookmarkEnd w:id="96"/>
      <w:bookmarkEnd w:id="97"/>
      <w:bookmarkEnd w:id="98"/>
    </w:p>
    <w:p w14:paraId="12CAD6E7" w14:textId="31B9EF2D" w:rsidR="00CF7C5D" w:rsidRPr="00287574" w:rsidRDefault="00CF7C5D" w:rsidP="00CF7C5D">
      <w:pPr>
        <w:rPr>
          <w:rFonts w:cs="Arial"/>
          <w:color w:val="auto"/>
        </w:rPr>
      </w:pPr>
      <w:r w:rsidRPr="00287574">
        <w:rPr>
          <w:color w:val="auto"/>
        </w:rPr>
        <w:t>Les règles et normes techniques suivantes s'appliquent aux installations électriques pour le raccordement de dispositifs de recharge :</w:t>
      </w:r>
    </w:p>
    <w:p w14:paraId="0AA30522" w14:textId="4278AB58" w:rsidR="00CF7C5D" w:rsidRPr="00287574" w:rsidRDefault="00CF7C5D" w:rsidP="00CF7C5D">
      <w:pPr>
        <w:pStyle w:val="Paragraphedeliste"/>
        <w:rPr>
          <w:rFonts w:ascii="Arial" w:hAnsi="Arial" w:cs="Arial"/>
        </w:rPr>
      </w:pPr>
      <w:r w:rsidRPr="00287574">
        <w:rPr>
          <w:rFonts w:ascii="Arial" w:hAnsi="Arial"/>
        </w:rPr>
        <w:t xml:space="preserve">DIN Deutsches Institut </w:t>
      </w:r>
      <w:proofErr w:type="spellStart"/>
      <w:r w:rsidRPr="00287574">
        <w:rPr>
          <w:rFonts w:ascii="Arial" w:hAnsi="Arial"/>
        </w:rPr>
        <w:t>für</w:t>
      </w:r>
      <w:proofErr w:type="spellEnd"/>
      <w:r w:rsidRPr="00287574">
        <w:rPr>
          <w:rFonts w:ascii="Arial" w:hAnsi="Arial"/>
        </w:rPr>
        <w:t xml:space="preserve"> </w:t>
      </w:r>
      <w:proofErr w:type="spellStart"/>
      <w:r w:rsidRPr="00287574">
        <w:rPr>
          <w:rFonts w:ascii="Arial" w:hAnsi="Arial"/>
        </w:rPr>
        <w:t>Normung</w:t>
      </w:r>
      <w:proofErr w:type="spellEnd"/>
      <w:r w:rsidRPr="00287574">
        <w:rPr>
          <w:rFonts w:ascii="Arial" w:hAnsi="Arial"/>
        </w:rPr>
        <w:t xml:space="preserve"> eV, DIN 18015-1 - Installations électriques dans les bâtiments résidentiels - Partie 1 : bases de planification. Berlin : </w:t>
      </w:r>
      <w:proofErr w:type="spellStart"/>
      <w:r w:rsidRPr="00287574">
        <w:rPr>
          <w:rFonts w:ascii="Arial" w:hAnsi="Arial"/>
        </w:rPr>
        <w:t>Beuth</w:t>
      </w:r>
      <w:proofErr w:type="spellEnd"/>
      <w:r w:rsidRPr="00287574">
        <w:rPr>
          <w:rFonts w:ascii="Arial" w:hAnsi="Arial"/>
        </w:rPr>
        <w:t> 2013</w:t>
      </w:r>
    </w:p>
    <w:p w14:paraId="2B089915" w14:textId="2A523732" w:rsidR="00CF7C5D" w:rsidRPr="00287574" w:rsidRDefault="00CF7C5D" w:rsidP="00CF7C5D">
      <w:pPr>
        <w:pStyle w:val="Paragraphedeliste"/>
        <w:rPr>
          <w:rFonts w:ascii="Arial" w:hAnsi="Arial" w:cs="Arial"/>
        </w:rPr>
      </w:pPr>
      <w:r w:rsidRPr="00287574">
        <w:rPr>
          <w:rFonts w:ascii="Arial" w:hAnsi="Arial"/>
        </w:rPr>
        <w:lastRenderedPageBreak/>
        <w:t xml:space="preserve">DIN Deutsches Institut </w:t>
      </w:r>
      <w:proofErr w:type="spellStart"/>
      <w:r w:rsidRPr="00287574">
        <w:rPr>
          <w:rFonts w:ascii="Arial" w:hAnsi="Arial"/>
        </w:rPr>
        <w:t>für</w:t>
      </w:r>
      <w:proofErr w:type="spellEnd"/>
      <w:r w:rsidRPr="00287574">
        <w:rPr>
          <w:rFonts w:ascii="Arial" w:hAnsi="Arial"/>
        </w:rPr>
        <w:t xml:space="preserve"> </w:t>
      </w:r>
      <w:proofErr w:type="spellStart"/>
      <w:r w:rsidRPr="00287574">
        <w:rPr>
          <w:rFonts w:ascii="Arial" w:hAnsi="Arial"/>
        </w:rPr>
        <w:t>Normung</w:t>
      </w:r>
      <w:proofErr w:type="spellEnd"/>
      <w:r w:rsidRPr="00287574">
        <w:rPr>
          <w:rFonts w:ascii="Arial" w:hAnsi="Arial"/>
        </w:rPr>
        <w:t xml:space="preserve"> </w:t>
      </w:r>
      <w:proofErr w:type="spellStart"/>
      <w:r w:rsidRPr="00287574">
        <w:rPr>
          <w:rFonts w:ascii="Arial" w:hAnsi="Arial"/>
        </w:rPr>
        <w:t>e.V.</w:t>
      </w:r>
      <w:proofErr w:type="spellEnd"/>
      <w:r w:rsidRPr="00287574">
        <w:rPr>
          <w:rFonts w:ascii="Arial" w:hAnsi="Arial"/>
        </w:rPr>
        <w:t xml:space="preserve">, DIN VDE 0100-722 – Alimentation des véhicules électriques. Berlin : </w:t>
      </w:r>
      <w:proofErr w:type="spellStart"/>
      <w:r w:rsidRPr="00287574">
        <w:rPr>
          <w:rFonts w:ascii="Arial" w:hAnsi="Arial"/>
        </w:rPr>
        <w:t>Beuth</w:t>
      </w:r>
      <w:proofErr w:type="spellEnd"/>
      <w:r w:rsidRPr="00287574">
        <w:rPr>
          <w:rFonts w:ascii="Arial" w:hAnsi="Arial"/>
        </w:rPr>
        <w:t> 2016</w:t>
      </w:r>
    </w:p>
    <w:p w14:paraId="03E58928" w14:textId="2F1C460B" w:rsidR="00CF7C5D" w:rsidRPr="00287574" w:rsidRDefault="00CF7C5D" w:rsidP="00CF7C5D">
      <w:pPr>
        <w:pStyle w:val="Paragraphedeliste"/>
        <w:rPr>
          <w:rFonts w:ascii="Arial" w:hAnsi="Arial" w:cs="Arial"/>
        </w:rPr>
      </w:pPr>
      <w:r w:rsidRPr="00287574">
        <w:rPr>
          <w:rFonts w:ascii="Arial" w:hAnsi="Arial"/>
        </w:rPr>
        <w:t xml:space="preserve">DIN Deutsches Institut </w:t>
      </w:r>
      <w:proofErr w:type="spellStart"/>
      <w:r w:rsidRPr="00287574">
        <w:rPr>
          <w:rFonts w:ascii="Arial" w:hAnsi="Arial"/>
        </w:rPr>
        <w:t>für</w:t>
      </w:r>
      <w:proofErr w:type="spellEnd"/>
      <w:r w:rsidRPr="00287574">
        <w:rPr>
          <w:rFonts w:ascii="Arial" w:hAnsi="Arial"/>
        </w:rPr>
        <w:t xml:space="preserve"> </w:t>
      </w:r>
      <w:proofErr w:type="spellStart"/>
      <w:r w:rsidRPr="00287574">
        <w:rPr>
          <w:rFonts w:ascii="Arial" w:hAnsi="Arial"/>
        </w:rPr>
        <w:t>Normung</w:t>
      </w:r>
      <w:proofErr w:type="spellEnd"/>
      <w:r w:rsidRPr="00287574">
        <w:rPr>
          <w:rFonts w:ascii="Arial" w:hAnsi="Arial"/>
        </w:rPr>
        <w:t xml:space="preserve"> </w:t>
      </w:r>
      <w:proofErr w:type="spellStart"/>
      <w:r w:rsidRPr="00287574">
        <w:rPr>
          <w:rFonts w:ascii="Arial" w:hAnsi="Arial"/>
        </w:rPr>
        <w:t>e.V.</w:t>
      </w:r>
      <w:proofErr w:type="spellEnd"/>
      <w:r w:rsidRPr="00287574">
        <w:rPr>
          <w:rFonts w:ascii="Arial" w:hAnsi="Arial"/>
        </w:rPr>
        <w:t xml:space="preserve"> : DIN EN 61851-1 (VDE 0122-1) - Équipement électrique des véhicules routiers électriques - Systèmes de charge conductive pour véhicules électriques. Berlin : </w:t>
      </w:r>
      <w:proofErr w:type="spellStart"/>
      <w:r w:rsidRPr="00287574">
        <w:rPr>
          <w:rFonts w:ascii="Arial" w:hAnsi="Arial"/>
        </w:rPr>
        <w:t>Beuth</w:t>
      </w:r>
      <w:proofErr w:type="spellEnd"/>
      <w:r w:rsidRPr="00287574">
        <w:rPr>
          <w:rFonts w:ascii="Arial" w:hAnsi="Arial"/>
        </w:rPr>
        <w:t> 2012</w:t>
      </w:r>
    </w:p>
    <w:p w14:paraId="17CB84CC" w14:textId="0AC473AB" w:rsidR="00CF7C5D" w:rsidRPr="00287574" w:rsidRDefault="00CF7C5D" w:rsidP="00CF7C5D">
      <w:pPr>
        <w:pStyle w:val="Paragraphedeliste"/>
        <w:rPr>
          <w:rFonts w:ascii="Arial" w:hAnsi="Arial" w:cs="Arial"/>
        </w:rPr>
      </w:pPr>
      <w:r w:rsidRPr="00287574">
        <w:rPr>
          <w:rFonts w:ascii="Arial" w:hAnsi="Arial"/>
        </w:rPr>
        <w:t xml:space="preserve">DIN Deutsches Institut </w:t>
      </w:r>
      <w:proofErr w:type="spellStart"/>
      <w:r w:rsidRPr="00287574">
        <w:rPr>
          <w:rFonts w:ascii="Arial" w:hAnsi="Arial"/>
        </w:rPr>
        <w:t>für</w:t>
      </w:r>
      <w:proofErr w:type="spellEnd"/>
      <w:r w:rsidRPr="00287574">
        <w:rPr>
          <w:rFonts w:ascii="Arial" w:hAnsi="Arial"/>
        </w:rPr>
        <w:t xml:space="preserve"> </w:t>
      </w:r>
      <w:proofErr w:type="spellStart"/>
      <w:r w:rsidRPr="00287574">
        <w:rPr>
          <w:rFonts w:ascii="Arial" w:hAnsi="Arial"/>
        </w:rPr>
        <w:t>Normung</w:t>
      </w:r>
      <w:proofErr w:type="spellEnd"/>
      <w:r w:rsidRPr="00287574">
        <w:rPr>
          <w:rFonts w:ascii="Arial" w:hAnsi="Arial"/>
        </w:rPr>
        <w:t xml:space="preserve"> </w:t>
      </w:r>
      <w:proofErr w:type="spellStart"/>
      <w:r w:rsidRPr="00287574">
        <w:rPr>
          <w:rFonts w:ascii="Arial" w:hAnsi="Arial"/>
        </w:rPr>
        <w:t>e.V.</w:t>
      </w:r>
      <w:proofErr w:type="spellEnd"/>
      <w:r w:rsidRPr="00287574">
        <w:rPr>
          <w:rFonts w:ascii="Arial" w:hAnsi="Arial"/>
        </w:rPr>
        <w:t> : DIN VDE 0100 - Installations électriques à basse tension</w:t>
      </w:r>
    </w:p>
    <w:p w14:paraId="75B24199" w14:textId="73A6A452" w:rsidR="00CF7C5D" w:rsidRPr="00287574" w:rsidRDefault="00CF7C5D" w:rsidP="00CF7C5D">
      <w:pPr>
        <w:pStyle w:val="Paragraphedeliste"/>
        <w:rPr>
          <w:rFonts w:ascii="Arial" w:hAnsi="Arial" w:cs="Arial"/>
        </w:rPr>
      </w:pPr>
      <w:r w:rsidRPr="00287574">
        <w:rPr>
          <w:rFonts w:ascii="Arial" w:hAnsi="Arial"/>
        </w:rPr>
        <w:t xml:space="preserve">DIN Deutsches Institut </w:t>
      </w:r>
      <w:proofErr w:type="spellStart"/>
      <w:r w:rsidRPr="00287574">
        <w:rPr>
          <w:rFonts w:ascii="Arial" w:hAnsi="Arial"/>
        </w:rPr>
        <w:t>für</w:t>
      </w:r>
      <w:proofErr w:type="spellEnd"/>
      <w:r w:rsidRPr="00287574">
        <w:rPr>
          <w:rFonts w:ascii="Arial" w:hAnsi="Arial"/>
        </w:rPr>
        <w:t xml:space="preserve"> </w:t>
      </w:r>
      <w:proofErr w:type="spellStart"/>
      <w:r w:rsidRPr="00287574">
        <w:rPr>
          <w:rFonts w:ascii="Arial" w:hAnsi="Arial"/>
        </w:rPr>
        <w:t>Normung</w:t>
      </w:r>
      <w:proofErr w:type="spellEnd"/>
      <w:r w:rsidRPr="00287574">
        <w:rPr>
          <w:rFonts w:ascii="Arial" w:hAnsi="Arial"/>
        </w:rPr>
        <w:t xml:space="preserve"> </w:t>
      </w:r>
      <w:proofErr w:type="spellStart"/>
      <w:r w:rsidRPr="00287574">
        <w:rPr>
          <w:rFonts w:ascii="Arial" w:hAnsi="Arial"/>
        </w:rPr>
        <w:t>e.V.</w:t>
      </w:r>
      <w:proofErr w:type="spellEnd"/>
      <w:r w:rsidRPr="00287574">
        <w:rPr>
          <w:rFonts w:ascii="Arial" w:hAnsi="Arial"/>
        </w:rPr>
        <w:t xml:space="preserve"> : DIN VDE 0100-443 - Protection contre les tensions parasites et les interférences électromagnétiques. Berlin : </w:t>
      </w:r>
      <w:proofErr w:type="spellStart"/>
      <w:r w:rsidRPr="00287574">
        <w:rPr>
          <w:rFonts w:ascii="Arial" w:hAnsi="Arial"/>
        </w:rPr>
        <w:t>Beuth</w:t>
      </w:r>
      <w:proofErr w:type="spellEnd"/>
      <w:r w:rsidRPr="00287574">
        <w:rPr>
          <w:rFonts w:ascii="Arial" w:hAnsi="Arial"/>
        </w:rPr>
        <w:t> 2016</w:t>
      </w:r>
    </w:p>
    <w:p w14:paraId="4F9FC406" w14:textId="1DD46F8B" w:rsidR="00CF7C5D" w:rsidRPr="00287574" w:rsidRDefault="00CF7C5D" w:rsidP="00CF7C5D">
      <w:pPr>
        <w:pStyle w:val="Paragraphedeliste"/>
        <w:rPr>
          <w:rFonts w:ascii="Arial" w:hAnsi="Arial" w:cs="Arial"/>
        </w:rPr>
      </w:pPr>
      <w:r w:rsidRPr="00287574">
        <w:rPr>
          <w:rFonts w:ascii="Arial" w:hAnsi="Arial"/>
        </w:rPr>
        <w:t xml:space="preserve">DIN Deutsches Institut </w:t>
      </w:r>
      <w:proofErr w:type="spellStart"/>
      <w:r w:rsidRPr="00287574">
        <w:rPr>
          <w:rFonts w:ascii="Arial" w:hAnsi="Arial"/>
        </w:rPr>
        <w:t>für</w:t>
      </w:r>
      <w:proofErr w:type="spellEnd"/>
      <w:r w:rsidRPr="00287574">
        <w:rPr>
          <w:rFonts w:ascii="Arial" w:hAnsi="Arial"/>
        </w:rPr>
        <w:t xml:space="preserve"> </w:t>
      </w:r>
      <w:proofErr w:type="spellStart"/>
      <w:r w:rsidRPr="00287574">
        <w:rPr>
          <w:rFonts w:ascii="Arial" w:hAnsi="Arial"/>
        </w:rPr>
        <w:t>Normung</w:t>
      </w:r>
      <w:proofErr w:type="spellEnd"/>
      <w:r w:rsidRPr="00287574">
        <w:rPr>
          <w:rFonts w:ascii="Arial" w:hAnsi="Arial"/>
        </w:rPr>
        <w:t xml:space="preserve"> </w:t>
      </w:r>
      <w:proofErr w:type="spellStart"/>
      <w:r w:rsidRPr="00287574">
        <w:rPr>
          <w:rFonts w:ascii="Arial" w:hAnsi="Arial"/>
        </w:rPr>
        <w:t>e.V.</w:t>
      </w:r>
      <w:proofErr w:type="spellEnd"/>
      <w:r w:rsidRPr="00287574">
        <w:rPr>
          <w:rFonts w:ascii="Arial" w:hAnsi="Arial"/>
        </w:rPr>
        <w:t xml:space="preserve"> : DIN EN ISO 15118 - Véhicules routiers - Interface de communication entre le véhicule et la station de recharge - Partie 2 : Exigences relatives au protocole réseau et d'application. Berlin : </w:t>
      </w:r>
      <w:proofErr w:type="spellStart"/>
      <w:r w:rsidRPr="00287574">
        <w:rPr>
          <w:rFonts w:ascii="Arial" w:hAnsi="Arial"/>
        </w:rPr>
        <w:t>Beuth</w:t>
      </w:r>
      <w:proofErr w:type="spellEnd"/>
      <w:r w:rsidRPr="00287574">
        <w:rPr>
          <w:rFonts w:ascii="Arial" w:hAnsi="Arial"/>
        </w:rPr>
        <w:t> 2014</w:t>
      </w:r>
    </w:p>
    <w:p w14:paraId="3F2FF119" w14:textId="79C7EEAD" w:rsidR="00CF7C5D" w:rsidRPr="00287574" w:rsidRDefault="00CF7C5D" w:rsidP="00CF7C5D">
      <w:pPr>
        <w:pStyle w:val="Paragraphedeliste"/>
        <w:rPr>
          <w:rFonts w:ascii="Arial" w:hAnsi="Arial" w:cs="Arial"/>
        </w:rPr>
      </w:pPr>
      <w:r w:rsidRPr="00287574">
        <w:rPr>
          <w:rFonts w:ascii="Arial" w:hAnsi="Arial"/>
        </w:rPr>
        <w:t xml:space="preserve">VDI </w:t>
      </w:r>
      <w:proofErr w:type="spellStart"/>
      <w:r w:rsidRPr="00287574">
        <w:rPr>
          <w:rFonts w:ascii="Arial" w:hAnsi="Arial"/>
        </w:rPr>
        <w:t>Verein</w:t>
      </w:r>
      <w:proofErr w:type="spellEnd"/>
      <w:r w:rsidRPr="00287574">
        <w:rPr>
          <w:rFonts w:ascii="Arial" w:hAnsi="Arial"/>
        </w:rPr>
        <w:t xml:space="preserve"> Deutscher </w:t>
      </w:r>
      <w:proofErr w:type="spellStart"/>
      <w:r w:rsidRPr="00287574">
        <w:rPr>
          <w:rFonts w:ascii="Arial" w:hAnsi="Arial"/>
        </w:rPr>
        <w:t>Ingenieure</w:t>
      </w:r>
      <w:proofErr w:type="spellEnd"/>
      <w:r w:rsidRPr="00287574">
        <w:rPr>
          <w:rFonts w:ascii="Arial" w:hAnsi="Arial"/>
        </w:rPr>
        <w:t xml:space="preserve"> : VDI 2166 - Feuille 2 - Planification des installations électriques dans les bâtiments - Remarques concernant l'électromobilité. Berlin : </w:t>
      </w:r>
      <w:proofErr w:type="spellStart"/>
      <w:r w:rsidRPr="00287574">
        <w:rPr>
          <w:rFonts w:ascii="Arial" w:hAnsi="Arial"/>
        </w:rPr>
        <w:t>Beuth</w:t>
      </w:r>
      <w:proofErr w:type="spellEnd"/>
      <w:r w:rsidRPr="00287574">
        <w:rPr>
          <w:rFonts w:ascii="Arial" w:hAnsi="Arial"/>
        </w:rPr>
        <w:t> 2015</w:t>
      </w:r>
    </w:p>
    <w:p w14:paraId="2D411A89" w14:textId="12049CDD" w:rsidR="00CF7C5D" w:rsidRPr="00287574" w:rsidRDefault="00CF7C5D" w:rsidP="00CF7C5D">
      <w:pPr>
        <w:pStyle w:val="Paragraphedeliste"/>
        <w:rPr>
          <w:rFonts w:ascii="Arial" w:hAnsi="Arial" w:cs="Arial"/>
        </w:rPr>
      </w:pPr>
      <w:proofErr w:type="spellStart"/>
      <w:r w:rsidRPr="00287574">
        <w:rPr>
          <w:rFonts w:ascii="Arial" w:hAnsi="Arial"/>
        </w:rPr>
        <w:t>VdS</w:t>
      </w:r>
      <w:proofErr w:type="spellEnd"/>
      <w:r w:rsidRPr="00287574">
        <w:rPr>
          <w:rFonts w:ascii="Arial" w:hAnsi="Arial"/>
        </w:rPr>
        <w:t xml:space="preserve"> </w:t>
      </w:r>
      <w:proofErr w:type="spellStart"/>
      <w:r w:rsidRPr="00287574">
        <w:rPr>
          <w:rFonts w:ascii="Arial" w:hAnsi="Arial"/>
        </w:rPr>
        <w:t>Verein</w:t>
      </w:r>
      <w:proofErr w:type="spellEnd"/>
      <w:r w:rsidRPr="00287574">
        <w:rPr>
          <w:rFonts w:ascii="Arial" w:hAnsi="Arial"/>
        </w:rPr>
        <w:t xml:space="preserve"> der </w:t>
      </w:r>
      <w:proofErr w:type="spellStart"/>
      <w:r w:rsidRPr="00287574">
        <w:rPr>
          <w:rFonts w:ascii="Arial" w:hAnsi="Arial"/>
        </w:rPr>
        <w:t>Schadenversicherer</w:t>
      </w:r>
      <w:proofErr w:type="spellEnd"/>
      <w:r w:rsidRPr="00287574">
        <w:rPr>
          <w:rFonts w:ascii="Arial" w:hAnsi="Arial"/>
        </w:rPr>
        <w:t xml:space="preserve"> : </w:t>
      </w:r>
      <w:proofErr w:type="spellStart"/>
      <w:r w:rsidRPr="00287574">
        <w:rPr>
          <w:rFonts w:ascii="Arial" w:hAnsi="Arial"/>
        </w:rPr>
        <w:t>VdS</w:t>
      </w:r>
      <w:proofErr w:type="spellEnd"/>
      <w:r w:rsidRPr="00287574">
        <w:rPr>
          <w:rFonts w:ascii="Arial" w:hAnsi="Arial"/>
        </w:rPr>
        <w:t xml:space="preserve"> 3471 - Stations de recharge pour véhicules routiers électriques. Berlin : </w:t>
      </w:r>
      <w:proofErr w:type="spellStart"/>
      <w:r w:rsidRPr="00287574">
        <w:rPr>
          <w:rFonts w:ascii="Arial" w:hAnsi="Arial"/>
        </w:rPr>
        <w:t>Beuth</w:t>
      </w:r>
      <w:proofErr w:type="spellEnd"/>
      <w:r w:rsidRPr="00287574">
        <w:rPr>
          <w:rFonts w:ascii="Arial" w:hAnsi="Arial"/>
        </w:rPr>
        <w:t> 2015</w:t>
      </w:r>
    </w:p>
    <w:p w14:paraId="35A3B411" w14:textId="1ABA0232" w:rsidR="00CF7C5D" w:rsidRPr="00287574" w:rsidRDefault="00CF7C5D" w:rsidP="00CF7C5D">
      <w:pPr>
        <w:pStyle w:val="Paragraphedeliste"/>
        <w:rPr>
          <w:rFonts w:ascii="Arial" w:hAnsi="Arial" w:cs="Arial"/>
        </w:rPr>
      </w:pPr>
      <w:r w:rsidRPr="00287574">
        <w:rPr>
          <w:rFonts w:ascii="Arial" w:hAnsi="Arial"/>
        </w:rPr>
        <w:t>ITM-SST 1506.3 - Parkings couverts de plus de 20 véhicules</w:t>
      </w:r>
    </w:p>
    <w:p w14:paraId="602AAEA6" w14:textId="35E9D0C6" w:rsidR="00B2615A" w:rsidRPr="00287574" w:rsidRDefault="00CF7C5D" w:rsidP="003750E9">
      <w:pPr>
        <w:pStyle w:val="Paragraphedeliste"/>
        <w:rPr>
          <w:rFonts w:cs="Arial"/>
        </w:rPr>
      </w:pPr>
      <w:r w:rsidRPr="00287574">
        <w:rPr>
          <w:rFonts w:ascii="Arial" w:hAnsi="Arial"/>
        </w:rPr>
        <w:t>Gestionnaire de réseau</w:t>
      </w:r>
      <w:r w:rsidR="00643EE2">
        <w:rPr>
          <w:rFonts w:ascii="Arial" w:hAnsi="Arial"/>
        </w:rPr>
        <w:t>x</w:t>
      </w:r>
      <w:r w:rsidRPr="00287574">
        <w:rPr>
          <w:rFonts w:ascii="Arial" w:hAnsi="Arial"/>
        </w:rPr>
        <w:t xml:space="preserve"> de distribution du Grand-Duché de Luxembourg : </w:t>
      </w:r>
      <w:r w:rsidR="00643EE2">
        <w:rPr>
          <w:rFonts w:ascii="Arial" w:hAnsi="Arial"/>
        </w:rPr>
        <w:t xml:space="preserve">Prescriptions </w:t>
      </w:r>
      <w:r w:rsidRPr="00287574">
        <w:rPr>
          <w:rFonts w:ascii="Arial" w:hAnsi="Arial"/>
        </w:rPr>
        <w:t xml:space="preserve">de raccordement pour les installations à </w:t>
      </w:r>
      <w:r w:rsidR="00DD04BE">
        <w:rPr>
          <w:rFonts w:ascii="Arial" w:hAnsi="Arial"/>
        </w:rPr>
        <w:t>courant fort</w:t>
      </w:r>
      <w:r w:rsidRPr="00287574">
        <w:rPr>
          <w:rFonts w:ascii="Arial" w:hAnsi="Arial"/>
        </w:rPr>
        <w:t xml:space="preserve"> tension avec tension nominale jusqu'à 1 000 V au sein du Grand-Duché de Luxembourg</w:t>
      </w:r>
    </w:p>
    <w:p w14:paraId="42459C63" w14:textId="77777777" w:rsidR="002A5C35" w:rsidRPr="00287574" w:rsidRDefault="002A5C35" w:rsidP="002A5C35">
      <w:pPr>
        <w:pStyle w:val="Paragraphedeliste"/>
        <w:numPr>
          <w:ilvl w:val="0"/>
          <w:numId w:val="0"/>
        </w:numPr>
        <w:ind w:left="720"/>
        <w:rPr>
          <w:rFonts w:cs="Arial"/>
        </w:rPr>
      </w:pPr>
    </w:p>
    <w:p w14:paraId="2CC65849" w14:textId="1C3E85E8" w:rsidR="00CF7C5D" w:rsidRPr="00287574" w:rsidRDefault="00CF7C5D" w:rsidP="00334846">
      <w:pPr>
        <w:pStyle w:val="Titre2"/>
      </w:pPr>
      <w:bookmarkStart w:id="99" w:name="_Toc22731566"/>
      <w:bookmarkStart w:id="100" w:name="_Toc37844180"/>
      <w:bookmarkStart w:id="101" w:name="_Toc40432355"/>
      <w:r w:rsidRPr="00287574">
        <w:t>Obligations légales</w:t>
      </w:r>
      <w:bookmarkEnd w:id="99"/>
      <w:bookmarkEnd w:id="100"/>
      <w:bookmarkEnd w:id="101"/>
    </w:p>
    <w:p w14:paraId="5035A6C9" w14:textId="56A7D77D" w:rsidR="00CF7C5D" w:rsidRPr="00287574" w:rsidRDefault="00CF7C5D" w:rsidP="00CF7C5D">
      <w:pPr>
        <w:rPr>
          <w:rFonts w:cs="Arial"/>
          <w:i/>
          <w:color w:val="auto"/>
        </w:rPr>
      </w:pPr>
      <w:r w:rsidRPr="00287574">
        <w:rPr>
          <w:color w:val="auto"/>
        </w:rPr>
        <w:t xml:space="preserve">Dans le cadre du </w:t>
      </w:r>
      <w:r w:rsidRPr="00287574">
        <w:rPr>
          <w:iCs/>
          <w:color w:val="auto"/>
        </w:rPr>
        <w:t>« Règlement grand-ducal</w:t>
      </w:r>
      <w:r w:rsidR="004541F5">
        <w:rPr>
          <w:iCs/>
          <w:color w:val="auto"/>
        </w:rPr>
        <w:t> »</w:t>
      </w:r>
      <w:r w:rsidRPr="00287574">
        <w:rPr>
          <w:iCs/>
          <w:color w:val="auto"/>
        </w:rPr>
        <w:t xml:space="preserve"> modifiant</w:t>
      </w:r>
    </w:p>
    <w:p w14:paraId="354C44B0" w14:textId="77777777" w:rsidR="00CF7C5D" w:rsidRPr="00287574" w:rsidRDefault="00CF7C5D" w:rsidP="00E960C3">
      <w:pPr>
        <w:pStyle w:val="Paragraphedeliste"/>
        <w:numPr>
          <w:ilvl w:val="0"/>
          <w:numId w:val="10"/>
        </w:numPr>
        <w:rPr>
          <w:rFonts w:ascii="Arial" w:hAnsi="Arial" w:cs="Arial"/>
          <w:iCs/>
        </w:rPr>
      </w:pPr>
      <w:proofErr w:type="gramStart"/>
      <w:r w:rsidRPr="00287574">
        <w:rPr>
          <w:rFonts w:ascii="Arial" w:hAnsi="Arial"/>
          <w:iCs/>
        </w:rPr>
        <w:t>le</w:t>
      </w:r>
      <w:proofErr w:type="gramEnd"/>
      <w:r w:rsidRPr="00287574">
        <w:rPr>
          <w:rFonts w:ascii="Arial" w:hAnsi="Arial"/>
          <w:iCs/>
        </w:rPr>
        <w:t xml:space="preserve"> règlement grand-ducal modifié du 30 novembre 2007 concernant la performance énergétique des bâtiments d'habitation et</w:t>
      </w:r>
    </w:p>
    <w:p w14:paraId="49F3DB58" w14:textId="77777777" w:rsidR="00CF7C5D" w:rsidRPr="00287574" w:rsidRDefault="00CF7C5D" w:rsidP="00E960C3">
      <w:pPr>
        <w:pStyle w:val="Paragraphedeliste"/>
        <w:numPr>
          <w:ilvl w:val="0"/>
          <w:numId w:val="10"/>
        </w:numPr>
        <w:spacing w:after="120"/>
        <w:ind w:left="714" w:hanging="357"/>
        <w:rPr>
          <w:rFonts w:ascii="Arial" w:hAnsi="Arial" w:cs="Arial"/>
          <w:iCs/>
        </w:rPr>
      </w:pPr>
      <w:proofErr w:type="gramStart"/>
      <w:r w:rsidRPr="00287574">
        <w:rPr>
          <w:rFonts w:ascii="Arial" w:hAnsi="Arial"/>
          <w:iCs/>
        </w:rPr>
        <w:t>le</w:t>
      </w:r>
      <w:proofErr w:type="gramEnd"/>
      <w:r w:rsidRPr="00287574">
        <w:rPr>
          <w:rFonts w:ascii="Arial" w:hAnsi="Arial"/>
          <w:iCs/>
        </w:rPr>
        <w:t xml:space="preserve"> règlement grand-ducal modifié du 31 août 2010 concernant la performance énergétique des bâtiments fonctionnels »,</w:t>
      </w:r>
    </w:p>
    <w:p w14:paraId="2B329CC8" w14:textId="77777777" w:rsidR="00CF7C5D" w:rsidRPr="00287574" w:rsidRDefault="00CF7C5D" w:rsidP="00CF7C5D">
      <w:pPr>
        <w:rPr>
          <w:rFonts w:cs="Arial"/>
          <w:color w:val="auto"/>
        </w:rPr>
      </w:pPr>
      <w:proofErr w:type="gramStart"/>
      <w:r w:rsidRPr="00287574">
        <w:rPr>
          <w:color w:val="auto"/>
        </w:rPr>
        <w:t>des</w:t>
      </w:r>
      <w:proofErr w:type="gramEnd"/>
      <w:r w:rsidRPr="00287574">
        <w:rPr>
          <w:color w:val="auto"/>
        </w:rPr>
        <w:t xml:space="preserve"> exigences minimales pour la mise en place d'infrastructures de recharge privées dans les bâtiments résidentiels et fonctionnels sont introduites. Ces exigences sont les suivantes :</w:t>
      </w:r>
    </w:p>
    <w:tbl>
      <w:tblPr>
        <w:tblStyle w:val="Grilledutableau"/>
        <w:tblW w:w="9776" w:type="dxa"/>
        <w:tblLook w:val="04A0" w:firstRow="1" w:lastRow="0" w:firstColumn="1" w:lastColumn="0" w:noHBand="0" w:noVBand="1"/>
      </w:tblPr>
      <w:tblGrid>
        <w:gridCol w:w="9776"/>
      </w:tblGrid>
      <w:tr w:rsidR="00CF7C5D" w:rsidRPr="00287574" w14:paraId="7D64469A" w14:textId="77777777" w:rsidTr="00955C85">
        <w:tc>
          <w:tcPr>
            <w:tcW w:w="9776" w:type="dxa"/>
            <w:shd w:val="clear" w:color="auto" w:fill="5B9BD5" w:themeFill="accent1"/>
          </w:tcPr>
          <w:p w14:paraId="4FB56804" w14:textId="3953F264" w:rsidR="00CF7C5D" w:rsidRPr="00287574" w:rsidRDefault="00CF7C5D" w:rsidP="00CF7C5D">
            <w:pPr>
              <w:spacing w:after="120"/>
              <w:rPr>
                <w:rFonts w:cs="Arial"/>
                <w:b/>
                <w:color w:val="auto"/>
              </w:rPr>
            </w:pPr>
            <w:r w:rsidRPr="00287574">
              <w:rPr>
                <w:b/>
                <w:color w:val="auto"/>
              </w:rPr>
              <w:t xml:space="preserve">Maisons </w:t>
            </w:r>
            <w:r w:rsidR="00C9560B">
              <w:rPr>
                <w:b/>
                <w:color w:val="auto"/>
              </w:rPr>
              <w:t>unifamiliales</w:t>
            </w:r>
            <w:r w:rsidRPr="00287574">
              <w:rPr>
                <w:b/>
                <w:color w:val="auto"/>
              </w:rPr>
              <w:t> :</w:t>
            </w:r>
          </w:p>
        </w:tc>
      </w:tr>
      <w:tr w:rsidR="00CF7C5D" w:rsidRPr="00287574" w14:paraId="08CAEF54" w14:textId="77777777" w:rsidTr="00241F4F">
        <w:tc>
          <w:tcPr>
            <w:tcW w:w="9776" w:type="dxa"/>
          </w:tcPr>
          <w:p w14:paraId="0AF58A65" w14:textId="52C9961F" w:rsidR="00CF7C5D" w:rsidRPr="00287574" w:rsidRDefault="00CF7C5D" w:rsidP="000D61EB">
            <w:pPr>
              <w:spacing w:after="120"/>
              <w:jc w:val="left"/>
              <w:rPr>
                <w:rFonts w:cs="Arial"/>
                <w:color w:val="auto"/>
              </w:rPr>
            </w:pPr>
            <w:proofErr w:type="spellStart"/>
            <w:r w:rsidRPr="00287574">
              <w:rPr>
                <w:color w:val="auto"/>
              </w:rPr>
              <w:t>Pré-câblage</w:t>
            </w:r>
            <w:proofErr w:type="spellEnd"/>
            <w:r w:rsidRPr="00287574">
              <w:rPr>
                <w:color w:val="auto"/>
              </w:rPr>
              <w:t xml:space="preserve"> ou pose de deux conduits vides, selon le câblage prévu, pour tous les espaces de stationnement intérieurs ainsi que les espaces de stationnement extérieurs couverts</w:t>
            </w:r>
          </w:p>
        </w:tc>
      </w:tr>
      <w:tr w:rsidR="00CF7C5D" w:rsidRPr="00287574" w14:paraId="4109568A" w14:textId="77777777" w:rsidTr="00955C85">
        <w:tc>
          <w:tcPr>
            <w:tcW w:w="9776" w:type="dxa"/>
            <w:shd w:val="clear" w:color="auto" w:fill="5B9BD5" w:themeFill="accent1"/>
          </w:tcPr>
          <w:p w14:paraId="6C4C2A8D" w14:textId="77777777" w:rsidR="00CF7C5D" w:rsidRPr="00287574" w:rsidRDefault="00CF7C5D" w:rsidP="00CF7C5D">
            <w:pPr>
              <w:spacing w:after="120"/>
              <w:rPr>
                <w:rFonts w:cs="Arial"/>
                <w:b/>
                <w:color w:val="auto"/>
              </w:rPr>
            </w:pPr>
            <w:r w:rsidRPr="00287574">
              <w:rPr>
                <w:b/>
                <w:color w:val="auto"/>
              </w:rPr>
              <w:t>Immeubles résidentiels :</w:t>
            </w:r>
          </w:p>
        </w:tc>
      </w:tr>
      <w:tr w:rsidR="00CF7C5D" w:rsidRPr="00287574" w14:paraId="6B5AF26B" w14:textId="77777777" w:rsidTr="00241F4F">
        <w:tc>
          <w:tcPr>
            <w:tcW w:w="9776" w:type="dxa"/>
          </w:tcPr>
          <w:p w14:paraId="1E49B497" w14:textId="1E287E95" w:rsidR="00CF7C5D" w:rsidRPr="00287574" w:rsidRDefault="00CF7C5D" w:rsidP="00E960C3">
            <w:pPr>
              <w:pStyle w:val="Paragraphedeliste"/>
              <w:numPr>
                <w:ilvl w:val="0"/>
                <w:numId w:val="14"/>
              </w:numPr>
              <w:spacing w:before="120" w:after="120" w:line="240" w:lineRule="auto"/>
              <w:jc w:val="left"/>
              <w:rPr>
                <w:rFonts w:ascii="Arial" w:hAnsi="Arial" w:cs="Arial"/>
              </w:rPr>
            </w:pPr>
            <w:r w:rsidRPr="00287574">
              <w:rPr>
                <w:rFonts w:ascii="Arial" w:hAnsi="Arial"/>
              </w:rPr>
              <w:t xml:space="preserve">Mêmes exigences que pour les maisons </w:t>
            </w:r>
            <w:r w:rsidR="00C9560B">
              <w:rPr>
                <w:rFonts w:ascii="Arial" w:hAnsi="Arial"/>
              </w:rPr>
              <w:t>unifamiliales</w:t>
            </w:r>
          </w:p>
          <w:p w14:paraId="0CA1D123" w14:textId="77777777" w:rsidR="00CF7C5D" w:rsidRPr="00287574" w:rsidRDefault="00CF7C5D" w:rsidP="00E960C3">
            <w:pPr>
              <w:pStyle w:val="Paragraphedeliste"/>
              <w:numPr>
                <w:ilvl w:val="0"/>
                <w:numId w:val="14"/>
              </w:numPr>
              <w:spacing w:before="120" w:after="120" w:line="240" w:lineRule="auto"/>
              <w:jc w:val="left"/>
              <w:rPr>
                <w:rFonts w:ascii="Arial" w:hAnsi="Arial" w:cs="Arial"/>
              </w:rPr>
            </w:pPr>
            <w:proofErr w:type="spellStart"/>
            <w:r w:rsidRPr="00287574">
              <w:rPr>
                <w:rFonts w:ascii="Arial" w:hAnsi="Arial"/>
              </w:rPr>
              <w:t>Pré-câblage</w:t>
            </w:r>
            <w:proofErr w:type="spellEnd"/>
            <w:r w:rsidRPr="00287574">
              <w:rPr>
                <w:rFonts w:ascii="Arial" w:hAnsi="Arial"/>
              </w:rPr>
              <w:t xml:space="preserve"> supplémentaire ou conduit vide pour un câble de données</w:t>
            </w:r>
          </w:p>
          <w:p w14:paraId="36E0DBBF" w14:textId="1A90FA8E" w:rsidR="00CF7C5D" w:rsidRPr="00287574" w:rsidRDefault="00CF7C5D" w:rsidP="00CD7BE0">
            <w:pPr>
              <w:pStyle w:val="Paragraphedeliste"/>
              <w:numPr>
                <w:ilvl w:val="0"/>
                <w:numId w:val="14"/>
              </w:numPr>
              <w:spacing w:before="120" w:after="120" w:line="240" w:lineRule="auto"/>
              <w:jc w:val="left"/>
              <w:rPr>
                <w:rFonts w:ascii="Arial" w:hAnsi="Arial" w:cs="Arial"/>
              </w:rPr>
            </w:pPr>
            <w:bookmarkStart w:id="102" w:name="_Hlk22115823"/>
            <w:r w:rsidRPr="00287574">
              <w:rPr>
                <w:rFonts w:ascii="Arial" w:hAnsi="Arial"/>
              </w:rPr>
              <w:t>Réserves d'espace</w:t>
            </w:r>
            <w:bookmarkEnd w:id="102"/>
            <w:r w:rsidRPr="00287574">
              <w:t xml:space="preserve"> </w:t>
            </w:r>
            <w:r w:rsidRPr="00287574">
              <w:rPr>
                <w:rFonts w:ascii="Arial" w:hAnsi="Arial"/>
              </w:rPr>
              <w:t>assurées (éventuellement autres petits répartiteurs de circuit électrique) pour une sécurisation supplémentaire du raccordement des</w:t>
            </w:r>
            <w:r w:rsidRPr="00287574">
              <w:t xml:space="preserve"> </w:t>
            </w:r>
            <w:bookmarkStart w:id="103" w:name="_Hlk536523187"/>
            <w:r w:rsidRPr="00287574">
              <w:rPr>
                <w:rFonts w:ascii="Arial" w:hAnsi="Arial"/>
              </w:rPr>
              <w:t>dispositifs de recharge</w:t>
            </w:r>
            <w:bookmarkEnd w:id="103"/>
          </w:p>
        </w:tc>
      </w:tr>
      <w:tr w:rsidR="00CF7C5D" w:rsidRPr="00287574" w14:paraId="409C764E" w14:textId="77777777" w:rsidTr="00955C85">
        <w:tc>
          <w:tcPr>
            <w:tcW w:w="9776" w:type="dxa"/>
            <w:shd w:val="clear" w:color="auto" w:fill="5B9BD5" w:themeFill="accent1"/>
          </w:tcPr>
          <w:p w14:paraId="1B12F061" w14:textId="77777777" w:rsidR="00CF7C5D" w:rsidRPr="00287574" w:rsidRDefault="00CF7C5D" w:rsidP="00CF7C5D">
            <w:pPr>
              <w:spacing w:after="120"/>
              <w:rPr>
                <w:rFonts w:cs="Arial"/>
                <w:b/>
                <w:color w:val="auto"/>
              </w:rPr>
            </w:pPr>
            <w:r w:rsidRPr="00287574">
              <w:rPr>
                <w:b/>
                <w:color w:val="auto"/>
              </w:rPr>
              <w:lastRenderedPageBreak/>
              <w:t>Immeubles fonctionnels</w:t>
            </w:r>
          </w:p>
        </w:tc>
      </w:tr>
      <w:tr w:rsidR="00CF7C5D" w:rsidRPr="00287574" w14:paraId="1C867273" w14:textId="77777777" w:rsidTr="00241F4F">
        <w:tc>
          <w:tcPr>
            <w:tcW w:w="9776" w:type="dxa"/>
          </w:tcPr>
          <w:p w14:paraId="4D736999" w14:textId="656BCC87" w:rsidR="00CF7C5D" w:rsidRPr="00287574" w:rsidRDefault="00CF7C5D" w:rsidP="00E960C3">
            <w:pPr>
              <w:pStyle w:val="Paragraphedeliste"/>
              <w:numPr>
                <w:ilvl w:val="0"/>
                <w:numId w:val="15"/>
              </w:numPr>
              <w:spacing w:before="120" w:after="120" w:line="240" w:lineRule="auto"/>
              <w:jc w:val="left"/>
              <w:rPr>
                <w:rFonts w:ascii="Arial" w:hAnsi="Arial" w:cs="Arial"/>
              </w:rPr>
            </w:pPr>
            <w:proofErr w:type="spellStart"/>
            <w:r w:rsidRPr="00287574">
              <w:rPr>
                <w:rFonts w:ascii="Arial" w:hAnsi="Arial"/>
              </w:rPr>
              <w:t>Pré-câblage</w:t>
            </w:r>
            <w:proofErr w:type="spellEnd"/>
            <w:r w:rsidRPr="00287574">
              <w:rPr>
                <w:rFonts w:ascii="Arial" w:hAnsi="Arial"/>
              </w:rPr>
              <w:t xml:space="preserve"> ou pose de deux conduits vides, selon le câblage prévu, pour 4 places de stationnement intérieures et 4 places de stationnement extérieures couvertes</w:t>
            </w:r>
          </w:p>
          <w:p w14:paraId="5FA6F590" w14:textId="0ABBD14A" w:rsidR="00CF7C5D" w:rsidRPr="00287574" w:rsidRDefault="00CF7C5D" w:rsidP="00E960C3">
            <w:pPr>
              <w:pStyle w:val="Paragraphedeliste"/>
              <w:numPr>
                <w:ilvl w:val="0"/>
                <w:numId w:val="15"/>
              </w:numPr>
              <w:spacing w:before="120" w:after="120" w:line="240" w:lineRule="auto"/>
              <w:jc w:val="left"/>
              <w:rPr>
                <w:rFonts w:ascii="Arial" w:hAnsi="Arial" w:cs="Arial"/>
              </w:rPr>
            </w:pPr>
            <w:proofErr w:type="spellStart"/>
            <w:r w:rsidRPr="00287574">
              <w:rPr>
                <w:rFonts w:ascii="Arial" w:hAnsi="Arial"/>
              </w:rPr>
              <w:t>Pré-câblage</w:t>
            </w:r>
            <w:proofErr w:type="spellEnd"/>
            <w:r w:rsidRPr="00287574">
              <w:rPr>
                <w:rFonts w:ascii="Arial" w:hAnsi="Arial"/>
              </w:rPr>
              <w:t xml:space="preserve"> ou pose de conduits vides pour le câble d'alimentation menant au panneau de commande principal</w:t>
            </w:r>
          </w:p>
          <w:p w14:paraId="23276D21" w14:textId="73923AFF" w:rsidR="00CF7C5D" w:rsidRPr="00287574" w:rsidRDefault="00CF7C5D" w:rsidP="00E960C3">
            <w:pPr>
              <w:pStyle w:val="Paragraphedeliste"/>
              <w:numPr>
                <w:ilvl w:val="0"/>
                <w:numId w:val="15"/>
              </w:numPr>
              <w:spacing w:before="120" w:after="120" w:line="240" w:lineRule="auto"/>
              <w:jc w:val="left"/>
              <w:rPr>
                <w:rFonts w:ascii="Arial" w:hAnsi="Arial" w:cs="Arial"/>
              </w:rPr>
            </w:pPr>
            <w:proofErr w:type="spellStart"/>
            <w:r w:rsidRPr="00287574">
              <w:rPr>
                <w:rFonts w:ascii="Arial" w:hAnsi="Arial"/>
              </w:rPr>
              <w:t>Pré-câblage</w:t>
            </w:r>
            <w:proofErr w:type="spellEnd"/>
            <w:r w:rsidRPr="00287574">
              <w:rPr>
                <w:rFonts w:ascii="Arial" w:hAnsi="Arial"/>
              </w:rPr>
              <w:t xml:space="preserve"> ou pose de conduits vides pour le câble de données menant à l'armoire des compteurs ou au système de gestion de la charge</w:t>
            </w:r>
          </w:p>
          <w:p w14:paraId="3A926055" w14:textId="4BEE2E50" w:rsidR="00CF7C5D" w:rsidRPr="00287574" w:rsidRDefault="00CF7C5D" w:rsidP="000D61EB">
            <w:pPr>
              <w:pStyle w:val="Paragraphedeliste"/>
              <w:numPr>
                <w:ilvl w:val="0"/>
                <w:numId w:val="15"/>
              </w:numPr>
              <w:spacing w:before="120" w:after="120" w:line="240" w:lineRule="auto"/>
              <w:jc w:val="left"/>
              <w:rPr>
                <w:rFonts w:ascii="Arial" w:hAnsi="Arial" w:cs="Arial"/>
              </w:rPr>
            </w:pPr>
            <w:r w:rsidRPr="00287574">
              <w:rPr>
                <w:rFonts w:ascii="Arial" w:hAnsi="Arial"/>
              </w:rPr>
              <w:t>Réserves d'espace assurées pour une sécurisation supplémentaire du raccordement des dispositifs de recharge</w:t>
            </w:r>
          </w:p>
        </w:tc>
      </w:tr>
    </w:tbl>
    <w:p w14:paraId="078F4610" w14:textId="77777777" w:rsidR="006665FC" w:rsidRPr="00287574" w:rsidRDefault="006665FC" w:rsidP="00CF7C5D">
      <w:pPr>
        <w:jc w:val="left"/>
        <w:rPr>
          <w:rFonts w:cs="Arial"/>
          <w:color w:val="auto"/>
        </w:rPr>
      </w:pPr>
    </w:p>
    <w:p w14:paraId="2F3771A3" w14:textId="2C0BCCFD" w:rsidR="00CF7C5D" w:rsidRPr="00287574" w:rsidRDefault="00CF7C5D" w:rsidP="00334846">
      <w:pPr>
        <w:pStyle w:val="Titre1"/>
        <w:numPr>
          <w:ilvl w:val="0"/>
          <w:numId w:val="17"/>
        </w:numPr>
      </w:pPr>
      <w:bookmarkStart w:id="104" w:name="_Toc22731567"/>
      <w:bookmarkStart w:id="105" w:name="_Toc37844181"/>
      <w:bookmarkStart w:id="106" w:name="_Toc40432356"/>
      <w:r w:rsidRPr="00287574">
        <w:t>Communication</w:t>
      </w:r>
      <w:bookmarkEnd w:id="104"/>
      <w:bookmarkEnd w:id="105"/>
      <w:bookmarkEnd w:id="106"/>
    </w:p>
    <w:p w14:paraId="4F5217AE" w14:textId="75A7BB0C" w:rsidR="00CF7C5D" w:rsidRPr="00287574" w:rsidRDefault="00CF7C5D" w:rsidP="00334846">
      <w:pPr>
        <w:pStyle w:val="Titre2"/>
      </w:pPr>
      <w:bookmarkStart w:id="107" w:name="_Toc22731568"/>
      <w:bookmarkStart w:id="108" w:name="_Toc37844182"/>
      <w:bookmarkStart w:id="109" w:name="_Toc40432357"/>
      <w:r w:rsidRPr="00287574">
        <w:t>Commande</w:t>
      </w:r>
      <w:bookmarkEnd w:id="107"/>
      <w:bookmarkEnd w:id="108"/>
      <w:bookmarkEnd w:id="109"/>
    </w:p>
    <w:p w14:paraId="1B63577D" w14:textId="4C1DCFB5" w:rsidR="00CF7C5D" w:rsidRPr="00287574" w:rsidRDefault="00CF7C5D" w:rsidP="00CF7C5D">
      <w:pPr>
        <w:rPr>
          <w:rFonts w:cs="Arial"/>
          <w:color w:val="auto"/>
        </w:rPr>
      </w:pPr>
      <w:r w:rsidRPr="00287574">
        <w:rPr>
          <w:color w:val="auto"/>
        </w:rPr>
        <w:t>Les tâches de commande suivantes peuvent s'avérer nécessaires ou souhaitables dans des installations électriques dotées de dispositifs de recharge pour véhicules électriques :</w:t>
      </w:r>
    </w:p>
    <w:p w14:paraId="2861F33E" w14:textId="6DBFEB42" w:rsidR="00AA263B" w:rsidRPr="00287574" w:rsidRDefault="00AA263B" w:rsidP="00CF7C5D">
      <w:pPr>
        <w:pStyle w:val="Paragraphedeliste"/>
        <w:rPr>
          <w:rFonts w:ascii="Arial" w:hAnsi="Arial" w:cs="Arial"/>
        </w:rPr>
      </w:pPr>
      <w:r w:rsidRPr="00287574">
        <w:rPr>
          <w:rFonts w:ascii="Arial" w:hAnsi="Arial"/>
        </w:rPr>
        <w:t>Puissance de recharge supérieure ou égale à 7 kW : Réduction / désactivation du dispositif de recharge par le GRD dans des conditions critiques du réseau</w:t>
      </w:r>
    </w:p>
    <w:p w14:paraId="4D2011C1" w14:textId="28D07A7C" w:rsidR="00CF7C5D" w:rsidRPr="00287574" w:rsidRDefault="00901796" w:rsidP="00CF7C5D">
      <w:pPr>
        <w:pStyle w:val="Paragraphedeliste"/>
        <w:rPr>
          <w:rFonts w:ascii="Arial" w:hAnsi="Arial" w:cs="Arial"/>
        </w:rPr>
      </w:pPr>
      <w:r w:rsidRPr="00287574">
        <w:rPr>
          <w:rFonts w:ascii="Arial" w:hAnsi="Arial"/>
        </w:rPr>
        <w:t>Recharge du véhicule en fonction des tarifs</w:t>
      </w:r>
    </w:p>
    <w:p w14:paraId="6255ED8E" w14:textId="1870DB84" w:rsidR="00CF7C5D" w:rsidRPr="00287574" w:rsidRDefault="00CF7C5D" w:rsidP="00CF7C5D">
      <w:pPr>
        <w:pStyle w:val="Paragraphedeliste"/>
        <w:rPr>
          <w:rFonts w:ascii="Arial" w:hAnsi="Arial" w:cs="Arial"/>
        </w:rPr>
      </w:pPr>
      <w:r w:rsidRPr="00287574">
        <w:rPr>
          <w:rFonts w:ascii="Arial" w:hAnsi="Arial"/>
        </w:rPr>
        <w:t>Commande de la recharge simultanée et/ou différée pour plusieurs points de recharge</w:t>
      </w:r>
    </w:p>
    <w:p w14:paraId="158755A0" w14:textId="2FA7CD70" w:rsidR="00CF7C5D" w:rsidRPr="00287574" w:rsidRDefault="00CF7C5D" w:rsidP="00CF7C5D">
      <w:pPr>
        <w:pStyle w:val="Paragraphedeliste"/>
        <w:rPr>
          <w:rFonts w:ascii="Arial" w:hAnsi="Arial" w:cs="Arial"/>
        </w:rPr>
      </w:pPr>
      <w:r w:rsidRPr="00287574">
        <w:rPr>
          <w:rFonts w:ascii="Arial" w:hAnsi="Arial"/>
        </w:rPr>
        <w:t xml:space="preserve">Commande du processus de recharge depuis un système de production ou </w:t>
      </w:r>
      <w:proofErr w:type="gramStart"/>
      <w:r w:rsidRPr="00287574">
        <w:rPr>
          <w:rFonts w:ascii="Arial" w:hAnsi="Arial"/>
        </w:rPr>
        <w:t>un accumulateur propres</w:t>
      </w:r>
      <w:proofErr w:type="gramEnd"/>
    </w:p>
    <w:p w14:paraId="03ECAA54" w14:textId="1638B333" w:rsidR="00CF7C5D" w:rsidRPr="00287574" w:rsidRDefault="00901796" w:rsidP="00CF7C5D">
      <w:pPr>
        <w:pStyle w:val="Paragraphedeliste"/>
        <w:rPr>
          <w:rFonts w:ascii="Arial" w:hAnsi="Arial" w:cs="Arial"/>
        </w:rPr>
      </w:pPr>
      <w:r w:rsidRPr="00287574">
        <w:rPr>
          <w:rFonts w:ascii="Arial" w:hAnsi="Arial"/>
        </w:rPr>
        <w:t>À l'avenir également, participation au marché d'équilibrage conformément à la législation sur la stabilité du système</w:t>
      </w:r>
    </w:p>
    <w:p w14:paraId="58834155" w14:textId="651D26FA" w:rsidR="00CF7C5D" w:rsidRPr="00287574" w:rsidRDefault="00CF7C5D" w:rsidP="00CF7C5D">
      <w:pPr>
        <w:rPr>
          <w:rFonts w:cs="Arial"/>
          <w:color w:val="auto"/>
        </w:rPr>
      </w:pPr>
      <w:r w:rsidRPr="00287574">
        <w:rPr>
          <w:color w:val="auto"/>
        </w:rPr>
        <w:t>Les câbles de commande requis pour cela sont posés en étoile entre l'espace dédié aux compteurs dans le local de raccordement ou le local technique et les dispositifs de recharge, le système de production et, si nécessaire, l'accumulateur.</w:t>
      </w:r>
    </w:p>
    <w:p w14:paraId="3E6E3FA2" w14:textId="66FF4EF2" w:rsidR="00CF7C5D" w:rsidRPr="00287574" w:rsidRDefault="00CF7C5D" w:rsidP="00CF7C5D">
      <w:pPr>
        <w:rPr>
          <w:rFonts w:cs="Arial"/>
          <w:color w:val="auto"/>
        </w:rPr>
      </w:pPr>
      <w:r w:rsidRPr="00287574">
        <w:rPr>
          <w:color w:val="auto"/>
        </w:rPr>
        <w:t>Les câbles de commande pour le raccordement au compteur intelligent doivent au moins correspondre à la catégorie 5 (CAT 5) ou bien être conçus pour 230 V et blindés. Un câble optique de commande doit garantir un débit de transmission d'au moins 1 Gbit/s. Du fait de la technologie active plus complexe et de la consommation d'énergie supplémentaire en cas d'utilisation de câbles à fibre optique, les câbles de commande de catégorie 5 doivent être privilégiés. Pour leur pose, des conduits d'installation électrique d'un diamètre d'au moins 32 mm et compatibles avec les contraintes mécaniques existantes (par ex., pose dans le béton) doivent être prévus. En cas d'utilisation de câbles optiques de commande, le diamètre du conduit peut être réduit. Le raccordement de dispositifs de recharge au moyen d'un câble optique de commande est peu pratique ; les dispositifs sont généralement dotés d'une interface Ethernet (RJ45) qui nécessite également un convertisseur supplémentaire (commutateur ou convertisseur). Une solution de ce type n'est en fait courante que pour des distances supérieures à 100 m (longueur de câble).</w:t>
      </w:r>
    </w:p>
    <w:p w14:paraId="268BF6F4" w14:textId="5EFCA6F1" w:rsidR="00CF7C5D" w:rsidRPr="00287574" w:rsidRDefault="00CF7C5D" w:rsidP="00334846">
      <w:pPr>
        <w:pStyle w:val="Titre2"/>
      </w:pPr>
      <w:bookmarkStart w:id="110" w:name="_Ref532301441"/>
      <w:bookmarkStart w:id="111" w:name="_Toc22731569"/>
      <w:bookmarkStart w:id="112" w:name="_Toc37844183"/>
      <w:bookmarkStart w:id="113" w:name="_Toc40432358"/>
      <w:r w:rsidRPr="00287574">
        <w:lastRenderedPageBreak/>
        <w:t>Gestion de la charge</w:t>
      </w:r>
      <w:bookmarkEnd w:id="110"/>
      <w:bookmarkEnd w:id="111"/>
      <w:bookmarkEnd w:id="112"/>
      <w:bookmarkEnd w:id="113"/>
    </w:p>
    <w:p w14:paraId="628DC4F5" w14:textId="3CFAA776" w:rsidR="00CF7C5D" w:rsidRPr="00287574" w:rsidRDefault="00CF7C5D" w:rsidP="00CF7C5D">
      <w:pPr>
        <w:rPr>
          <w:rFonts w:cs="Arial"/>
          <w:color w:val="auto"/>
        </w:rPr>
      </w:pPr>
      <w:r w:rsidRPr="00287574">
        <w:rPr>
          <w:color w:val="auto"/>
        </w:rPr>
        <w:t xml:space="preserve">Les points de recharge CA usuels dans les grands immeubles résidentiels et fonctionnels peuvent fonctionner jusqu'à une puissance de 22 kW, ce que le réseau fournit rarement à un coût abordable. Même si le gestionnaire </w:t>
      </w:r>
      <w:proofErr w:type="gramStart"/>
      <w:r w:rsidRPr="00287574">
        <w:rPr>
          <w:color w:val="auto"/>
        </w:rPr>
        <w:t>du réseau</w:t>
      </w:r>
      <w:r w:rsidR="00643EE2">
        <w:rPr>
          <w:color w:val="auto"/>
        </w:rPr>
        <w:t>x</w:t>
      </w:r>
      <w:proofErr w:type="gramEnd"/>
      <w:r w:rsidRPr="00287574">
        <w:rPr>
          <w:color w:val="auto"/>
        </w:rPr>
        <w:t xml:space="preserve"> de distribution approuve la capacité de charge souhaitée pour l'électromobilité, une charge non maîtrisée peut augmenter considérablement les coûts de fourniture d'électricité, en particulier si plusieurs points de recharge doivent être alimentés sur un seul raccordement.</w:t>
      </w:r>
    </w:p>
    <w:p w14:paraId="73C9CE6E" w14:textId="6B8495D8" w:rsidR="00CF7C5D" w:rsidRPr="00287574" w:rsidRDefault="00CF7C5D" w:rsidP="00CF7C5D">
      <w:pPr>
        <w:rPr>
          <w:rFonts w:cs="Arial"/>
          <w:color w:val="auto"/>
        </w:rPr>
      </w:pPr>
      <w:r w:rsidRPr="00287574">
        <w:rPr>
          <w:color w:val="auto"/>
        </w:rPr>
        <w:t>Avec les dispositifs de recharge courants, il est souvent possible de limiter la puissance de charge par paliers prédéfinis. Il est ainsi possible de limiter de façon permanente la puissance d'un dispositif de 22 kW à 11 kW (16 A) ou 7 kW (10 A), par exemple. Si plusieurs points de recharge doivent fonctionner sur un même raccordement domestique, cette approche n'est que relativement pertinente. Avec plus de quatre points de recharge, une distribution dynamique de la puissance doit toujours être envisagée, car la distribution de la puissance n'intervient alors qu'entre les points de recharge sur lesquels la charge est effective simultanément.</w:t>
      </w:r>
    </w:p>
    <w:p w14:paraId="20015397" w14:textId="019683BF" w:rsidR="00CF7C5D" w:rsidRPr="00287574" w:rsidRDefault="00CF7C5D" w:rsidP="00CF7C5D">
      <w:pPr>
        <w:rPr>
          <w:rFonts w:cs="Arial"/>
          <w:color w:val="auto"/>
        </w:rPr>
      </w:pPr>
      <w:r w:rsidRPr="00287574">
        <w:rPr>
          <w:color w:val="auto"/>
        </w:rPr>
        <w:t xml:space="preserve">La gestion de la charge (ou charge intelligente) doit dans tous les cas être prévue lors de la planification, car elle peut réduire considérablement la puissance de raccordement nécessaire ainsi que les extensions futures, par ex. la charge à partir d'une installation photovoltaïque propre. En cas d'équipement minimal des places de stationnement en stations de recharge, il est bien entendu possible d'installer ultérieurement un système de gestion de la charge dans la mesure où il doit déjà être pris en compte lors de l'installation. L'espace nécessaire, la pose de conduits vides, etc. doivent alors être prévus en fonction de la variante retenue. Il est ainsi possible, en cas de mise en œuvre de la gestion de la charge pour les stations de recharge, de minimiser le travail et les coûts. En tout état de cause, cet aspect peut être ignoré si, compte tenu des conditions locales (par ex., nombre très limité de places de stationnement), on peut supposer que la puissance de raccordement requise pour l'électromobilité peut facilement être couverte. </w:t>
      </w:r>
    </w:p>
    <w:p w14:paraId="6DF0849F" w14:textId="46371B1B" w:rsidR="00CF7C5D" w:rsidRPr="00287574" w:rsidRDefault="00CF7C5D" w:rsidP="00CF7C5D">
      <w:pPr>
        <w:rPr>
          <w:rFonts w:cs="Arial"/>
          <w:color w:val="auto"/>
        </w:rPr>
      </w:pPr>
      <w:r w:rsidRPr="00287574">
        <w:rPr>
          <w:color w:val="auto"/>
        </w:rPr>
        <w:t>De tels systèmes assurent une ou plusieurs des fonctions suivantes :</w:t>
      </w:r>
    </w:p>
    <w:p w14:paraId="3F1CAD84" w14:textId="128CE6B5" w:rsidR="00CF7C5D" w:rsidRPr="00287574" w:rsidRDefault="00CF7C5D" w:rsidP="00E960C3">
      <w:pPr>
        <w:pStyle w:val="Paragraphedeliste"/>
        <w:numPr>
          <w:ilvl w:val="0"/>
          <w:numId w:val="8"/>
        </w:numPr>
        <w:rPr>
          <w:rFonts w:ascii="Arial" w:hAnsi="Arial" w:cs="Arial"/>
        </w:rPr>
      </w:pPr>
      <w:r w:rsidRPr="00287574">
        <w:rPr>
          <w:rFonts w:ascii="Arial" w:hAnsi="Arial"/>
          <w:b/>
        </w:rPr>
        <w:t>Limitation de charge dynamique</w:t>
      </w:r>
      <w:r w:rsidRPr="00287574">
        <w:rPr>
          <w:rFonts w:ascii="Arial" w:hAnsi="Arial"/>
        </w:rPr>
        <w:t xml:space="preserve"> : </w:t>
      </w:r>
      <w:r w:rsidR="00476EE8">
        <w:rPr>
          <w:rFonts w:ascii="Arial" w:hAnsi="Arial"/>
        </w:rPr>
        <w:t>c</w:t>
      </w:r>
      <w:r w:rsidR="00476EE8" w:rsidRPr="00287574">
        <w:rPr>
          <w:rFonts w:ascii="Arial" w:hAnsi="Arial"/>
        </w:rPr>
        <w:t xml:space="preserve">es </w:t>
      </w:r>
      <w:r w:rsidRPr="00287574">
        <w:rPr>
          <w:rFonts w:ascii="Arial" w:hAnsi="Arial"/>
        </w:rPr>
        <w:t>systèmes répartissent la puissance totale disponible (variable dans le temps) entre les points de recharge utilisés simultanément. Dans sa conception la plus simple, un système de ce type limite la puissance de charge de tous les processus de charge simultanés afin que la puissance totale ne dépasse pas une valeur maximale prédéfinie. Tous les véhicules raccordés se chargent donc à la même vitesse (rapide ou lente). Les points de recharge doivent de préférence être commandés via l'OCPP (Open Charge Point Protocol) indépendamment du constructeur. À partir de la version 1.6 de ce protocole, la gestion de la charge est clairement spécifiée et régule la communication des données entre les colonnes de recharge et l'unité centrale.</w:t>
      </w:r>
    </w:p>
    <w:p w14:paraId="4A396E34" w14:textId="15F6FBF3" w:rsidR="00CF7C5D" w:rsidRPr="00287574" w:rsidRDefault="00CF7C5D" w:rsidP="00E960C3">
      <w:pPr>
        <w:pStyle w:val="Paragraphedeliste"/>
        <w:numPr>
          <w:ilvl w:val="0"/>
          <w:numId w:val="8"/>
        </w:numPr>
        <w:rPr>
          <w:rFonts w:ascii="Arial" w:hAnsi="Arial" w:cs="Arial"/>
        </w:rPr>
      </w:pPr>
      <w:r w:rsidRPr="00287574">
        <w:rPr>
          <w:rFonts w:ascii="Arial" w:hAnsi="Arial"/>
          <w:b/>
        </w:rPr>
        <w:t>Heure de début</w:t>
      </w:r>
      <w:r w:rsidRPr="00287574">
        <w:rPr>
          <w:rFonts w:ascii="Arial" w:hAnsi="Arial"/>
        </w:rPr>
        <w:t xml:space="preserve"> : Avec les systèmes de ce type, l'utilisateur peut spécifier jusqu'à quel moment il souhaite charger une quantité d'énergie donnée (autonomie en km). Une estimation approximative est faite de la quantité d'énergie requise pour atteindre l'autonomie souhaitée. Il n'y a pas de véritable contrôle de l'autonomie réellement ajoutée. La commande du système répartit la charge de tous les véhicules raccordés en fonction des besoins et peut </w:t>
      </w:r>
      <w:r w:rsidR="00093E42">
        <w:rPr>
          <w:rFonts w:ascii="Arial" w:hAnsi="Arial"/>
        </w:rPr>
        <w:t xml:space="preserve">ainsi, le cas échéant, </w:t>
      </w:r>
      <w:r w:rsidRPr="00287574">
        <w:rPr>
          <w:rFonts w:ascii="Arial" w:hAnsi="Arial"/>
        </w:rPr>
        <w:t xml:space="preserve">charger plus rapidement les véhicules stationnés que sur une courte période. La communication des données entre les colonnes de recharge et l'unité de commande est </w:t>
      </w:r>
      <w:r w:rsidRPr="00287574">
        <w:rPr>
          <w:rFonts w:ascii="Arial" w:hAnsi="Arial"/>
        </w:rPr>
        <w:lastRenderedPageBreak/>
        <w:t>requise. Ce système est idéal pour les parkings d'entreprise, car il veille par ex. à ce que les commerciaux puissent recharger rapidement leur véhicule si nécessaire, tandis que les employés sédentaires rechargent lentement tout au long de la journée.</w:t>
      </w:r>
    </w:p>
    <w:p w14:paraId="1845A526" w14:textId="01D22AEC" w:rsidR="00CF7C5D" w:rsidRPr="00287574" w:rsidRDefault="00CF7C5D" w:rsidP="00E960C3">
      <w:pPr>
        <w:pStyle w:val="Paragraphedeliste"/>
        <w:numPr>
          <w:ilvl w:val="0"/>
          <w:numId w:val="8"/>
        </w:numPr>
        <w:rPr>
          <w:rFonts w:ascii="Arial" w:hAnsi="Arial" w:cs="Arial"/>
        </w:rPr>
      </w:pPr>
      <w:r w:rsidRPr="00287574">
        <w:rPr>
          <w:rFonts w:ascii="Arial" w:hAnsi="Arial"/>
          <w:b/>
        </w:rPr>
        <w:t>Relevé de la consommation d'électricité par point de recharge</w:t>
      </w:r>
      <w:r w:rsidRPr="00287574">
        <w:rPr>
          <w:rFonts w:ascii="Arial" w:hAnsi="Arial"/>
        </w:rPr>
        <w:t> : Si la facturation de l'énergie est requise (par ex. compteur commun à plusieurs points de recharge), il est essentiel de relever la consommation de chaque point de recharge. Des points de recharge avec compteurs intégrés sont disponibles sur le marché. Les valeurs de compteur doivent pouvoir être relevées à partir d'un point central, si nécessaire via OCPP. La communication des données entre les colonnes de recharge et l'unité de commande est requise. La communication avec le monde extérieur peut permettre à l'administrateur de relever plus facilement la consommation et de procéder à la facturation. Ce système est avantageux pour les espaces de stationnement ou les points de recharge qui ne sont pas attribués de manière fixe, ou s'il n'est pas possible / pertinent, en raison des conditions locales, de raccorder le point de recharge de chaque utilisateur à son propre compteur.</w:t>
      </w:r>
    </w:p>
    <w:p w14:paraId="42DD57A1" w14:textId="215B5BDB" w:rsidR="00CF7C5D" w:rsidRPr="00287574" w:rsidRDefault="00CF7C5D" w:rsidP="00E960C3">
      <w:pPr>
        <w:pStyle w:val="Paragraphedeliste"/>
        <w:numPr>
          <w:ilvl w:val="0"/>
          <w:numId w:val="8"/>
        </w:numPr>
        <w:rPr>
          <w:rFonts w:ascii="Arial" w:hAnsi="Arial" w:cs="Arial"/>
        </w:rPr>
      </w:pPr>
      <w:r w:rsidRPr="00287574">
        <w:rPr>
          <w:rFonts w:ascii="Arial" w:hAnsi="Arial"/>
          <w:b/>
        </w:rPr>
        <w:t>Identification de l'utilisateur</w:t>
      </w:r>
      <w:r w:rsidRPr="00287574">
        <w:rPr>
          <w:rFonts w:ascii="Arial" w:hAnsi="Arial"/>
        </w:rPr>
        <w:t xml:space="preserve"> : Si les points de recharge ne sont pas attribués à des utilisateurs individuels mais qu'une facturation propre à chaque utilisateur doit être effectuée, des points de recharge avec compteur et options d'identification, par ex. au moyen d'une puce RFID, sont la solution. La communication des données entre les colonnes de recharge et l'unité de commande via OCPP est requise. Cependant, ces systèmes nécessitent en outre une gestion centralisée des utilisateurs et des puces, ce qui peut être simplifié pour l'administrateur en communiquant avec le monde extérieur. Avec ce système, l'utilisateur doit s'authentifier au point de recharge au début du processus de recharge. </w:t>
      </w:r>
      <w:r w:rsidR="00F40DB0" w:rsidRPr="00F40DB0">
        <w:rPr>
          <w:rFonts w:ascii="Arial" w:hAnsi="Arial"/>
        </w:rPr>
        <w:t>Dans ce cas, il faut s'assurer dans tous les cas que l'administrateur (fournisseur de services) peut être sécurisé en permanence.</w:t>
      </w:r>
      <w:r w:rsidRPr="00287574">
        <w:rPr>
          <w:rFonts w:ascii="Arial" w:hAnsi="Arial"/>
        </w:rPr>
        <w:t xml:space="preserve"> C'est par ex. le cas du système de tarification accessible au public « </w:t>
      </w:r>
      <w:proofErr w:type="spellStart"/>
      <w:r w:rsidRPr="00287574">
        <w:rPr>
          <w:rFonts w:ascii="Arial" w:hAnsi="Arial"/>
        </w:rPr>
        <w:t>Chargy</w:t>
      </w:r>
      <w:proofErr w:type="spellEnd"/>
      <w:r w:rsidRPr="00287574">
        <w:rPr>
          <w:rFonts w:ascii="Arial" w:hAnsi="Arial"/>
        </w:rPr>
        <w:t> »</w:t>
      </w:r>
      <w:r w:rsidR="00E44E4E" w:rsidRPr="00287574">
        <w:rPr>
          <w:rStyle w:val="Appelnotedebasdep"/>
          <w:rFonts w:ascii="Arial" w:hAnsi="Arial" w:cs="Arial"/>
        </w:rPr>
        <w:footnoteReference w:id="9"/>
      </w:r>
      <w:r w:rsidRPr="00287574">
        <w:rPr>
          <w:rFonts w:ascii="Arial" w:hAnsi="Arial"/>
        </w:rPr>
        <w:t>. Pour les stations de recharge privées mais accessibles au public, il est également possible de les intégrer au réseau « </w:t>
      </w:r>
      <w:proofErr w:type="spellStart"/>
      <w:r w:rsidRPr="00287574">
        <w:rPr>
          <w:rFonts w:ascii="Arial" w:hAnsi="Arial"/>
        </w:rPr>
        <w:t>Chargy</w:t>
      </w:r>
      <w:proofErr w:type="spellEnd"/>
      <w:r w:rsidRPr="00287574">
        <w:rPr>
          <w:rFonts w:ascii="Arial" w:hAnsi="Arial"/>
        </w:rPr>
        <w:t> » en tant que colonne de recharge « </w:t>
      </w:r>
      <w:proofErr w:type="spellStart"/>
      <w:r w:rsidRPr="00287574">
        <w:rPr>
          <w:rFonts w:ascii="Arial" w:hAnsi="Arial"/>
        </w:rPr>
        <w:t>Chargy</w:t>
      </w:r>
      <w:proofErr w:type="spellEnd"/>
      <w:r w:rsidRPr="00287574">
        <w:rPr>
          <w:rFonts w:ascii="Arial" w:hAnsi="Arial"/>
        </w:rPr>
        <w:t xml:space="preserve"> OK ».</w:t>
      </w:r>
    </w:p>
    <w:p w14:paraId="40779780" w14:textId="28222478" w:rsidR="00CF7C5D" w:rsidRPr="00287574" w:rsidRDefault="00CF7C5D" w:rsidP="00E960C3">
      <w:pPr>
        <w:pStyle w:val="Paragraphedeliste"/>
        <w:numPr>
          <w:ilvl w:val="0"/>
          <w:numId w:val="8"/>
        </w:numPr>
        <w:rPr>
          <w:rFonts w:ascii="Arial" w:hAnsi="Arial" w:cs="Arial"/>
        </w:rPr>
      </w:pPr>
      <w:r w:rsidRPr="00287574">
        <w:rPr>
          <w:rFonts w:ascii="Arial" w:hAnsi="Arial"/>
          <w:b/>
        </w:rPr>
        <w:t>Optimisation de l'autoconsommation</w:t>
      </w:r>
      <w:r w:rsidRPr="00287574">
        <w:rPr>
          <w:rFonts w:ascii="Arial" w:hAnsi="Arial"/>
        </w:rPr>
        <w:t> : Afin de privilégier l'électricité auto-produite (par ex. à partir d'un système photovoltaïque) pour la recharge, certains systèmes offrent une optimisation de l'autoconsommation. Ainsi, la recharge est principalement effectuée lorsque la puissance requise est produite. De tels systèmes peuvent généralement être combinés avec une spécification de l'heure de départ, de sorte que si le générateur est inopérant, la recharge est toujours effectuée à temps, mais à partir du réseau. La communication des données entre les colonnes de recharge et l'unité de commande est requise, l'utilisation du protocole OCPP étant recommandée à partir de la version 1.6. La communication avec une station météorologique locale ou basée sur le Web pour tenir compte des prévisions météorologiques est un plus pour de tels systèmes. Ce système constitue une extension de tous les autres systèmes et contribue à une mobilité préservant au maximum les ressources.</w:t>
      </w:r>
    </w:p>
    <w:p w14:paraId="489DCEA8" w14:textId="3BF3EABC" w:rsidR="00CF7C5D" w:rsidRDefault="00CF7C5D" w:rsidP="00CF7C5D">
      <w:pPr>
        <w:rPr>
          <w:color w:val="auto"/>
        </w:rPr>
      </w:pPr>
      <w:r w:rsidRPr="00287574">
        <w:rPr>
          <w:color w:val="auto"/>
        </w:rPr>
        <w:t>Le tableau suivant présente différents cas d'utilisation et les fonctions correspondantes proposées par la gestion de la charge :</w:t>
      </w:r>
    </w:p>
    <w:p w14:paraId="1780FE79" w14:textId="77777777" w:rsidR="00955C85" w:rsidRPr="00287574" w:rsidRDefault="00955C85" w:rsidP="00CF7C5D">
      <w:pPr>
        <w:rPr>
          <w:rFonts w:cs="Arial"/>
          <w:color w:val="auto"/>
        </w:rPr>
      </w:pPr>
    </w:p>
    <w:tbl>
      <w:tblPr>
        <w:tblStyle w:val="Grilledutableau"/>
        <w:tblW w:w="5000" w:type="pct"/>
        <w:tblLook w:val="04A0" w:firstRow="1" w:lastRow="0" w:firstColumn="1" w:lastColumn="0" w:noHBand="0" w:noVBand="1"/>
      </w:tblPr>
      <w:tblGrid>
        <w:gridCol w:w="2300"/>
        <w:gridCol w:w="3516"/>
        <w:gridCol w:w="3955"/>
      </w:tblGrid>
      <w:tr w:rsidR="00CF7C5D" w:rsidRPr="00287574" w14:paraId="16D2A1EE" w14:textId="77777777" w:rsidTr="00955C85">
        <w:tc>
          <w:tcPr>
            <w:tcW w:w="1177" w:type="pct"/>
            <w:shd w:val="clear" w:color="auto" w:fill="5B9BD5" w:themeFill="accent1"/>
          </w:tcPr>
          <w:p w14:paraId="690DDC1E" w14:textId="77777777" w:rsidR="00CF7C5D" w:rsidRPr="00287574" w:rsidRDefault="00CF7C5D" w:rsidP="00CF7C5D">
            <w:pPr>
              <w:spacing w:before="60" w:after="60"/>
              <w:jc w:val="left"/>
              <w:rPr>
                <w:rFonts w:cs="Arial"/>
                <w:b/>
                <w:iCs/>
                <w:color w:val="auto"/>
              </w:rPr>
            </w:pPr>
            <w:r w:rsidRPr="00287574">
              <w:rPr>
                <w:b/>
                <w:iCs/>
                <w:color w:val="auto"/>
              </w:rPr>
              <w:lastRenderedPageBreak/>
              <w:t>Application</w:t>
            </w:r>
          </w:p>
        </w:tc>
        <w:tc>
          <w:tcPr>
            <w:tcW w:w="1799" w:type="pct"/>
            <w:shd w:val="clear" w:color="auto" w:fill="5B9BD5" w:themeFill="accent1"/>
          </w:tcPr>
          <w:p w14:paraId="53C269FA" w14:textId="77777777" w:rsidR="00CF7C5D" w:rsidRPr="00287574" w:rsidRDefault="00CF7C5D" w:rsidP="00CF7C5D">
            <w:pPr>
              <w:spacing w:before="60" w:after="60"/>
              <w:jc w:val="left"/>
              <w:rPr>
                <w:rFonts w:cs="Arial"/>
                <w:b/>
                <w:iCs/>
                <w:color w:val="auto"/>
              </w:rPr>
            </w:pPr>
            <w:r w:rsidRPr="00287574">
              <w:rPr>
                <w:b/>
                <w:iCs/>
                <w:color w:val="auto"/>
              </w:rPr>
              <w:t>Base</w:t>
            </w:r>
          </w:p>
        </w:tc>
        <w:tc>
          <w:tcPr>
            <w:tcW w:w="2024" w:type="pct"/>
            <w:shd w:val="clear" w:color="auto" w:fill="5B9BD5" w:themeFill="accent1"/>
          </w:tcPr>
          <w:p w14:paraId="6468780E" w14:textId="77777777" w:rsidR="00CF7C5D" w:rsidRPr="00287574" w:rsidRDefault="00CF7C5D" w:rsidP="00CF7C5D">
            <w:pPr>
              <w:spacing w:before="60" w:after="60"/>
              <w:jc w:val="left"/>
              <w:rPr>
                <w:rFonts w:cs="Arial"/>
                <w:b/>
                <w:iCs/>
                <w:color w:val="auto"/>
              </w:rPr>
            </w:pPr>
            <w:r w:rsidRPr="00287574">
              <w:rPr>
                <w:b/>
                <w:iCs/>
                <w:color w:val="auto"/>
              </w:rPr>
              <w:t>Adaptation</w:t>
            </w:r>
          </w:p>
        </w:tc>
      </w:tr>
      <w:tr w:rsidR="00CF7C5D" w:rsidRPr="00287574" w14:paraId="2163F51D" w14:textId="77777777" w:rsidTr="00CF7C5D">
        <w:tc>
          <w:tcPr>
            <w:tcW w:w="1177" w:type="pct"/>
          </w:tcPr>
          <w:p w14:paraId="299AF011" w14:textId="77777777" w:rsidR="00CF7C5D" w:rsidRPr="00287574" w:rsidRDefault="00CF7C5D" w:rsidP="00CF7C5D">
            <w:pPr>
              <w:spacing w:before="60" w:after="60"/>
              <w:jc w:val="left"/>
              <w:rPr>
                <w:rFonts w:cs="Arial"/>
                <w:iCs/>
                <w:color w:val="auto"/>
              </w:rPr>
            </w:pPr>
            <w:r w:rsidRPr="00287574">
              <w:rPr>
                <w:iCs/>
                <w:color w:val="auto"/>
              </w:rPr>
              <w:t>Immeuble résidentiel</w:t>
            </w:r>
          </w:p>
        </w:tc>
        <w:tc>
          <w:tcPr>
            <w:tcW w:w="1799" w:type="pct"/>
          </w:tcPr>
          <w:p w14:paraId="37F89664" w14:textId="77777777" w:rsidR="00CF7C5D" w:rsidRPr="00287574" w:rsidRDefault="00CF7C5D" w:rsidP="00E960C3">
            <w:pPr>
              <w:pStyle w:val="Paragraphedeliste"/>
              <w:numPr>
                <w:ilvl w:val="0"/>
                <w:numId w:val="12"/>
              </w:numPr>
              <w:spacing w:before="60" w:after="60" w:line="240" w:lineRule="auto"/>
              <w:jc w:val="left"/>
              <w:rPr>
                <w:rFonts w:ascii="Arial" w:hAnsi="Arial" w:cs="Arial"/>
                <w:iCs/>
              </w:rPr>
            </w:pPr>
            <w:r w:rsidRPr="00287574">
              <w:rPr>
                <w:rFonts w:ascii="Arial" w:hAnsi="Arial"/>
                <w:iCs/>
              </w:rPr>
              <w:t>Commande statique</w:t>
            </w:r>
          </w:p>
          <w:p w14:paraId="56AE487A" w14:textId="77777777" w:rsidR="00CF7C5D" w:rsidRPr="00287574" w:rsidRDefault="00CF7C5D" w:rsidP="00E960C3">
            <w:pPr>
              <w:pStyle w:val="Paragraphedeliste"/>
              <w:numPr>
                <w:ilvl w:val="0"/>
                <w:numId w:val="12"/>
              </w:numPr>
              <w:spacing w:before="60" w:after="60" w:line="240" w:lineRule="auto"/>
              <w:jc w:val="left"/>
              <w:rPr>
                <w:rFonts w:ascii="Arial" w:hAnsi="Arial" w:cs="Arial"/>
                <w:iCs/>
              </w:rPr>
            </w:pPr>
            <w:r w:rsidRPr="00287574">
              <w:rPr>
                <w:rFonts w:ascii="Arial" w:hAnsi="Arial"/>
                <w:iCs/>
              </w:rPr>
              <w:t>Relevé de la consommation d'électricité</w:t>
            </w:r>
          </w:p>
        </w:tc>
        <w:tc>
          <w:tcPr>
            <w:tcW w:w="2024" w:type="pct"/>
          </w:tcPr>
          <w:p w14:paraId="771F5B77" w14:textId="77777777" w:rsidR="00CF7C5D" w:rsidRPr="00287574" w:rsidRDefault="00CF7C5D" w:rsidP="00E960C3">
            <w:pPr>
              <w:pStyle w:val="Paragraphedeliste"/>
              <w:numPr>
                <w:ilvl w:val="0"/>
                <w:numId w:val="11"/>
              </w:numPr>
              <w:spacing w:before="60" w:after="60" w:line="240" w:lineRule="auto"/>
              <w:jc w:val="left"/>
              <w:rPr>
                <w:rFonts w:ascii="Arial" w:hAnsi="Arial" w:cs="Arial"/>
                <w:iCs/>
              </w:rPr>
            </w:pPr>
            <w:r w:rsidRPr="00287574">
              <w:rPr>
                <w:rFonts w:ascii="Arial" w:hAnsi="Arial"/>
                <w:iCs/>
              </w:rPr>
              <w:t>Commande dynamique</w:t>
            </w:r>
          </w:p>
          <w:p w14:paraId="0904DAB2" w14:textId="1DE11AB8" w:rsidR="00CF7C5D" w:rsidRPr="00287574" w:rsidRDefault="00CF7C5D" w:rsidP="00E960C3">
            <w:pPr>
              <w:pStyle w:val="Paragraphedeliste"/>
              <w:numPr>
                <w:ilvl w:val="0"/>
                <w:numId w:val="11"/>
              </w:numPr>
              <w:spacing w:before="60" w:after="60" w:line="240" w:lineRule="auto"/>
              <w:jc w:val="left"/>
              <w:rPr>
                <w:rFonts w:ascii="Arial" w:hAnsi="Arial" w:cs="Arial"/>
                <w:iCs/>
              </w:rPr>
            </w:pPr>
            <w:r w:rsidRPr="00287574">
              <w:rPr>
                <w:rFonts w:ascii="Arial" w:hAnsi="Arial"/>
                <w:iCs/>
              </w:rPr>
              <w:t>Optimisation de l'autoconsommation</w:t>
            </w:r>
          </w:p>
          <w:p w14:paraId="1A4698E3" w14:textId="77777777" w:rsidR="00CF7C5D" w:rsidRPr="00287574" w:rsidRDefault="00CF7C5D" w:rsidP="00E960C3">
            <w:pPr>
              <w:pStyle w:val="Paragraphedeliste"/>
              <w:numPr>
                <w:ilvl w:val="0"/>
                <w:numId w:val="11"/>
              </w:numPr>
              <w:spacing w:before="60" w:after="60" w:line="240" w:lineRule="auto"/>
              <w:jc w:val="left"/>
              <w:rPr>
                <w:rFonts w:ascii="Arial" w:hAnsi="Arial" w:cs="Arial"/>
                <w:iCs/>
              </w:rPr>
            </w:pPr>
            <w:r w:rsidRPr="00287574">
              <w:rPr>
                <w:rFonts w:ascii="Arial" w:hAnsi="Arial"/>
                <w:iCs/>
              </w:rPr>
              <w:t>Identification de l'utilisateur</w:t>
            </w:r>
          </w:p>
        </w:tc>
      </w:tr>
      <w:tr w:rsidR="00CF7C5D" w:rsidRPr="00287574" w14:paraId="3AEAB6D1" w14:textId="77777777" w:rsidTr="00CF7C5D">
        <w:tc>
          <w:tcPr>
            <w:tcW w:w="1177" w:type="pct"/>
          </w:tcPr>
          <w:p w14:paraId="12BF194D" w14:textId="77777777" w:rsidR="00CF7C5D" w:rsidRPr="00287574" w:rsidRDefault="00CF7C5D" w:rsidP="00CF7C5D">
            <w:pPr>
              <w:spacing w:before="60" w:after="60"/>
              <w:jc w:val="left"/>
              <w:rPr>
                <w:rFonts w:cs="Arial"/>
                <w:iCs/>
                <w:color w:val="auto"/>
              </w:rPr>
            </w:pPr>
            <w:r w:rsidRPr="00287574">
              <w:rPr>
                <w:iCs/>
                <w:color w:val="auto"/>
              </w:rPr>
              <w:t>Immeuble résidentiel avec commerces</w:t>
            </w:r>
          </w:p>
        </w:tc>
        <w:tc>
          <w:tcPr>
            <w:tcW w:w="1799" w:type="pct"/>
          </w:tcPr>
          <w:p w14:paraId="483A688D" w14:textId="77777777" w:rsidR="00CF7C5D" w:rsidRPr="00287574" w:rsidRDefault="00CF7C5D" w:rsidP="00E960C3">
            <w:pPr>
              <w:pStyle w:val="Paragraphedeliste"/>
              <w:numPr>
                <w:ilvl w:val="0"/>
                <w:numId w:val="13"/>
              </w:numPr>
              <w:spacing w:before="60" w:after="60" w:line="240" w:lineRule="auto"/>
              <w:jc w:val="left"/>
              <w:rPr>
                <w:rFonts w:ascii="Arial" w:hAnsi="Arial" w:cs="Arial"/>
                <w:iCs/>
              </w:rPr>
            </w:pPr>
            <w:r w:rsidRPr="00287574">
              <w:rPr>
                <w:rFonts w:ascii="Arial" w:hAnsi="Arial"/>
                <w:iCs/>
              </w:rPr>
              <w:t>Commande statique</w:t>
            </w:r>
          </w:p>
          <w:p w14:paraId="03C9D14D" w14:textId="77777777" w:rsidR="00CF7C5D" w:rsidRPr="00287574" w:rsidRDefault="00CF7C5D" w:rsidP="00E960C3">
            <w:pPr>
              <w:pStyle w:val="Paragraphedeliste"/>
              <w:numPr>
                <w:ilvl w:val="0"/>
                <w:numId w:val="13"/>
              </w:numPr>
              <w:spacing w:before="60" w:after="60" w:line="240" w:lineRule="auto"/>
              <w:jc w:val="left"/>
              <w:rPr>
                <w:rFonts w:ascii="Arial" w:hAnsi="Arial" w:cs="Arial"/>
                <w:iCs/>
              </w:rPr>
            </w:pPr>
            <w:r w:rsidRPr="00287574">
              <w:rPr>
                <w:rFonts w:ascii="Arial" w:hAnsi="Arial"/>
                <w:iCs/>
              </w:rPr>
              <w:t>Relevé de la consommation d'électricité</w:t>
            </w:r>
          </w:p>
        </w:tc>
        <w:tc>
          <w:tcPr>
            <w:tcW w:w="2024" w:type="pct"/>
          </w:tcPr>
          <w:p w14:paraId="706F35E9" w14:textId="77777777" w:rsidR="00CF7C5D" w:rsidRPr="00287574" w:rsidRDefault="00CF7C5D" w:rsidP="00E960C3">
            <w:pPr>
              <w:pStyle w:val="Paragraphedeliste"/>
              <w:numPr>
                <w:ilvl w:val="0"/>
                <w:numId w:val="11"/>
              </w:numPr>
              <w:spacing w:before="60" w:after="60" w:line="240" w:lineRule="auto"/>
              <w:jc w:val="left"/>
              <w:rPr>
                <w:rFonts w:ascii="Arial" w:hAnsi="Arial" w:cs="Arial"/>
                <w:iCs/>
              </w:rPr>
            </w:pPr>
            <w:r w:rsidRPr="00287574">
              <w:rPr>
                <w:rFonts w:ascii="Arial" w:hAnsi="Arial"/>
                <w:iCs/>
              </w:rPr>
              <w:t>Commande dynamique</w:t>
            </w:r>
          </w:p>
          <w:p w14:paraId="75741BA9" w14:textId="5FCACF3F" w:rsidR="00CF7C5D" w:rsidRPr="00287574" w:rsidRDefault="00CF7C5D" w:rsidP="00E960C3">
            <w:pPr>
              <w:pStyle w:val="Paragraphedeliste"/>
              <w:numPr>
                <w:ilvl w:val="0"/>
                <w:numId w:val="11"/>
              </w:numPr>
              <w:spacing w:before="60" w:after="60" w:line="240" w:lineRule="auto"/>
              <w:jc w:val="left"/>
              <w:rPr>
                <w:rFonts w:ascii="Arial" w:hAnsi="Arial" w:cs="Arial"/>
                <w:iCs/>
              </w:rPr>
            </w:pPr>
            <w:r w:rsidRPr="00287574">
              <w:rPr>
                <w:rFonts w:ascii="Arial" w:hAnsi="Arial"/>
                <w:iCs/>
              </w:rPr>
              <w:t>Optimisation de l'autoconsommation</w:t>
            </w:r>
          </w:p>
          <w:p w14:paraId="02561184" w14:textId="77777777" w:rsidR="00CF7C5D" w:rsidRPr="00287574" w:rsidRDefault="00CF7C5D" w:rsidP="00E960C3">
            <w:pPr>
              <w:pStyle w:val="Paragraphedeliste"/>
              <w:numPr>
                <w:ilvl w:val="0"/>
                <w:numId w:val="11"/>
              </w:numPr>
              <w:spacing w:before="60" w:after="60" w:line="240" w:lineRule="auto"/>
              <w:jc w:val="left"/>
              <w:rPr>
                <w:rFonts w:ascii="Arial" w:hAnsi="Arial" w:cs="Arial"/>
                <w:iCs/>
              </w:rPr>
            </w:pPr>
            <w:r w:rsidRPr="00287574">
              <w:rPr>
                <w:rFonts w:ascii="Arial" w:hAnsi="Arial"/>
                <w:iCs/>
              </w:rPr>
              <w:t>Identification de l'utilisateur</w:t>
            </w:r>
          </w:p>
        </w:tc>
      </w:tr>
      <w:tr w:rsidR="00CF7C5D" w:rsidRPr="00287574" w14:paraId="012F3F01" w14:textId="77777777" w:rsidTr="00CF7C5D">
        <w:tc>
          <w:tcPr>
            <w:tcW w:w="1177" w:type="pct"/>
          </w:tcPr>
          <w:p w14:paraId="59743CCE" w14:textId="77777777" w:rsidR="00CF7C5D" w:rsidRPr="00287574" w:rsidRDefault="00CF7C5D" w:rsidP="00CF7C5D">
            <w:pPr>
              <w:spacing w:before="60" w:after="60"/>
              <w:jc w:val="left"/>
              <w:rPr>
                <w:rFonts w:cs="Arial"/>
                <w:iCs/>
                <w:color w:val="auto"/>
              </w:rPr>
            </w:pPr>
            <w:r w:rsidRPr="00287574">
              <w:rPr>
                <w:iCs/>
                <w:color w:val="auto"/>
              </w:rPr>
              <w:t>Travail (pas de déplacements professionnels)</w:t>
            </w:r>
          </w:p>
        </w:tc>
        <w:tc>
          <w:tcPr>
            <w:tcW w:w="1799" w:type="pct"/>
          </w:tcPr>
          <w:p w14:paraId="5B4D8340" w14:textId="77777777" w:rsidR="00CF7C5D" w:rsidRPr="00287574" w:rsidRDefault="00CF7C5D" w:rsidP="00CF7C5D">
            <w:pPr>
              <w:spacing w:before="60" w:after="60"/>
              <w:jc w:val="left"/>
              <w:rPr>
                <w:rFonts w:cs="Arial"/>
                <w:iCs/>
                <w:color w:val="auto"/>
              </w:rPr>
            </w:pPr>
            <w:r w:rsidRPr="00287574">
              <w:rPr>
                <w:iCs/>
                <w:color w:val="auto"/>
              </w:rPr>
              <w:t>Commande statique</w:t>
            </w:r>
          </w:p>
        </w:tc>
        <w:tc>
          <w:tcPr>
            <w:tcW w:w="2024" w:type="pct"/>
          </w:tcPr>
          <w:p w14:paraId="47B114FA" w14:textId="77777777" w:rsidR="00CF7C5D" w:rsidRPr="00287574" w:rsidRDefault="00CF7C5D" w:rsidP="00E960C3">
            <w:pPr>
              <w:pStyle w:val="Paragraphedeliste"/>
              <w:numPr>
                <w:ilvl w:val="0"/>
                <w:numId w:val="11"/>
              </w:numPr>
              <w:spacing w:before="60" w:after="60" w:line="240" w:lineRule="auto"/>
              <w:jc w:val="left"/>
              <w:rPr>
                <w:rFonts w:ascii="Arial" w:hAnsi="Arial" w:cs="Arial"/>
                <w:iCs/>
              </w:rPr>
            </w:pPr>
            <w:r w:rsidRPr="00287574">
              <w:rPr>
                <w:rFonts w:ascii="Arial" w:hAnsi="Arial"/>
                <w:iCs/>
              </w:rPr>
              <w:t>Commande dynamique</w:t>
            </w:r>
          </w:p>
          <w:p w14:paraId="6F7E95C8" w14:textId="256C61CD" w:rsidR="00CF7C5D" w:rsidRPr="00287574" w:rsidRDefault="00CF7C5D" w:rsidP="00E960C3">
            <w:pPr>
              <w:pStyle w:val="Paragraphedeliste"/>
              <w:numPr>
                <w:ilvl w:val="0"/>
                <w:numId w:val="11"/>
              </w:numPr>
              <w:spacing w:before="60" w:after="60" w:line="240" w:lineRule="auto"/>
              <w:jc w:val="left"/>
              <w:rPr>
                <w:rFonts w:ascii="Arial" w:hAnsi="Arial" w:cs="Arial"/>
                <w:iCs/>
              </w:rPr>
            </w:pPr>
            <w:r w:rsidRPr="00287574">
              <w:rPr>
                <w:rFonts w:ascii="Arial" w:hAnsi="Arial"/>
                <w:iCs/>
              </w:rPr>
              <w:t>Spécification de l'heure de départ</w:t>
            </w:r>
          </w:p>
          <w:p w14:paraId="66450720" w14:textId="77777777" w:rsidR="00CF7C5D" w:rsidRPr="00287574" w:rsidRDefault="00CF7C5D" w:rsidP="00E960C3">
            <w:pPr>
              <w:pStyle w:val="Paragraphedeliste"/>
              <w:numPr>
                <w:ilvl w:val="0"/>
                <w:numId w:val="11"/>
              </w:numPr>
              <w:spacing w:before="60" w:after="60" w:line="240" w:lineRule="auto"/>
              <w:jc w:val="left"/>
              <w:rPr>
                <w:rFonts w:ascii="Arial" w:hAnsi="Arial" w:cs="Arial"/>
                <w:iCs/>
              </w:rPr>
            </w:pPr>
            <w:r w:rsidRPr="00287574">
              <w:rPr>
                <w:rFonts w:ascii="Arial" w:hAnsi="Arial"/>
                <w:iCs/>
              </w:rPr>
              <w:t>Identification de l'utilisateur</w:t>
            </w:r>
          </w:p>
        </w:tc>
      </w:tr>
      <w:tr w:rsidR="00CF7C5D" w:rsidRPr="00287574" w14:paraId="423C6947" w14:textId="77777777" w:rsidTr="00CF7C5D">
        <w:tc>
          <w:tcPr>
            <w:tcW w:w="1177" w:type="pct"/>
          </w:tcPr>
          <w:p w14:paraId="0C90BDD1" w14:textId="40DDCCE3" w:rsidR="00CF7C5D" w:rsidRPr="00287574" w:rsidRDefault="00CF7C5D" w:rsidP="009A6CC3">
            <w:pPr>
              <w:spacing w:before="60" w:after="60"/>
              <w:jc w:val="left"/>
              <w:rPr>
                <w:rFonts w:cs="Arial"/>
                <w:iCs/>
                <w:color w:val="auto"/>
              </w:rPr>
            </w:pPr>
            <w:r w:rsidRPr="00287574">
              <w:rPr>
                <w:iCs/>
                <w:color w:val="auto"/>
              </w:rPr>
              <w:t>Gestion de flotte</w:t>
            </w:r>
          </w:p>
        </w:tc>
        <w:tc>
          <w:tcPr>
            <w:tcW w:w="1799" w:type="pct"/>
          </w:tcPr>
          <w:p w14:paraId="27CEB419" w14:textId="77777777" w:rsidR="00CF7C5D" w:rsidRPr="00287574" w:rsidRDefault="00CF7C5D" w:rsidP="00CF7C5D">
            <w:pPr>
              <w:spacing w:before="60" w:after="60"/>
              <w:jc w:val="left"/>
              <w:rPr>
                <w:rFonts w:cs="Arial"/>
                <w:iCs/>
                <w:color w:val="auto"/>
              </w:rPr>
            </w:pPr>
            <w:r w:rsidRPr="00287574">
              <w:rPr>
                <w:iCs/>
                <w:color w:val="auto"/>
              </w:rPr>
              <w:t>Commande dynamique</w:t>
            </w:r>
          </w:p>
        </w:tc>
        <w:tc>
          <w:tcPr>
            <w:tcW w:w="2024" w:type="pct"/>
          </w:tcPr>
          <w:p w14:paraId="3FDFF8C3" w14:textId="347F4D8F" w:rsidR="00CF7C5D" w:rsidRPr="00287574" w:rsidRDefault="00CF7C5D" w:rsidP="00E960C3">
            <w:pPr>
              <w:pStyle w:val="Paragraphedeliste"/>
              <w:numPr>
                <w:ilvl w:val="0"/>
                <w:numId w:val="11"/>
              </w:numPr>
              <w:spacing w:before="60" w:after="60" w:line="240" w:lineRule="auto"/>
              <w:jc w:val="left"/>
              <w:rPr>
                <w:rFonts w:ascii="Arial" w:hAnsi="Arial" w:cs="Arial"/>
                <w:iCs/>
              </w:rPr>
            </w:pPr>
            <w:r w:rsidRPr="00287574">
              <w:rPr>
                <w:rFonts w:ascii="Arial" w:hAnsi="Arial"/>
                <w:iCs/>
              </w:rPr>
              <w:t>Spécification de l'heure de départ</w:t>
            </w:r>
          </w:p>
          <w:p w14:paraId="0E573296" w14:textId="77777777" w:rsidR="00CF7C5D" w:rsidRPr="00287574" w:rsidRDefault="00CF7C5D" w:rsidP="00E960C3">
            <w:pPr>
              <w:pStyle w:val="Paragraphedeliste"/>
              <w:numPr>
                <w:ilvl w:val="0"/>
                <w:numId w:val="11"/>
              </w:numPr>
              <w:spacing w:before="60" w:after="60" w:line="240" w:lineRule="auto"/>
              <w:jc w:val="left"/>
              <w:rPr>
                <w:rFonts w:ascii="Arial" w:hAnsi="Arial" w:cs="Arial"/>
                <w:iCs/>
              </w:rPr>
            </w:pPr>
            <w:r w:rsidRPr="00287574">
              <w:rPr>
                <w:rFonts w:ascii="Arial" w:hAnsi="Arial"/>
                <w:iCs/>
              </w:rPr>
              <w:t>Identification de l'utilisateur</w:t>
            </w:r>
          </w:p>
        </w:tc>
      </w:tr>
      <w:tr w:rsidR="00CF7C5D" w:rsidRPr="00287574" w14:paraId="16A9E4FD" w14:textId="77777777" w:rsidTr="00CF7C5D">
        <w:tc>
          <w:tcPr>
            <w:tcW w:w="1177" w:type="pct"/>
          </w:tcPr>
          <w:p w14:paraId="229F98E5" w14:textId="77777777" w:rsidR="00CF7C5D" w:rsidRPr="00287574" w:rsidRDefault="00CF7C5D" w:rsidP="00CF7C5D">
            <w:pPr>
              <w:spacing w:before="60" w:after="60"/>
              <w:jc w:val="left"/>
              <w:rPr>
                <w:rFonts w:cs="Arial"/>
                <w:iCs/>
                <w:color w:val="auto"/>
              </w:rPr>
            </w:pPr>
            <w:r w:rsidRPr="00287574">
              <w:rPr>
                <w:iCs/>
                <w:color w:val="auto"/>
              </w:rPr>
              <w:t>Hôtel</w:t>
            </w:r>
          </w:p>
        </w:tc>
        <w:tc>
          <w:tcPr>
            <w:tcW w:w="1799" w:type="pct"/>
          </w:tcPr>
          <w:p w14:paraId="5FB94356" w14:textId="77777777" w:rsidR="00CF7C5D" w:rsidRPr="00287574" w:rsidRDefault="00CF7C5D" w:rsidP="00CF7C5D">
            <w:pPr>
              <w:spacing w:before="60" w:after="60"/>
              <w:jc w:val="left"/>
              <w:rPr>
                <w:rFonts w:cs="Arial"/>
                <w:iCs/>
                <w:color w:val="auto"/>
              </w:rPr>
            </w:pPr>
            <w:r w:rsidRPr="00287574">
              <w:rPr>
                <w:iCs/>
                <w:color w:val="auto"/>
              </w:rPr>
              <w:t>Commande dynamique</w:t>
            </w:r>
          </w:p>
        </w:tc>
        <w:tc>
          <w:tcPr>
            <w:tcW w:w="2024" w:type="pct"/>
          </w:tcPr>
          <w:p w14:paraId="61591248" w14:textId="1809EA46" w:rsidR="00CF7C5D" w:rsidRPr="00287574" w:rsidRDefault="00CF7C5D" w:rsidP="00E960C3">
            <w:pPr>
              <w:pStyle w:val="Paragraphedeliste"/>
              <w:numPr>
                <w:ilvl w:val="0"/>
                <w:numId w:val="11"/>
              </w:numPr>
              <w:spacing w:before="60" w:after="60" w:line="240" w:lineRule="auto"/>
              <w:jc w:val="left"/>
              <w:rPr>
                <w:rFonts w:ascii="Arial" w:hAnsi="Arial" w:cs="Arial"/>
                <w:iCs/>
              </w:rPr>
            </w:pPr>
            <w:r w:rsidRPr="00287574">
              <w:rPr>
                <w:rFonts w:ascii="Arial" w:hAnsi="Arial"/>
                <w:iCs/>
              </w:rPr>
              <w:t>Spécification de l'heure de départ</w:t>
            </w:r>
          </w:p>
          <w:p w14:paraId="311F3E68" w14:textId="4F6D2FAF" w:rsidR="00CF7C5D" w:rsidRPr="00287574" w:rsidRDefault="00CF7C5D" w:rsidP="009A6CC3">
            <w:pPr>
              <w:pStyle w:val="Paragraphedeliste"/>
              <w:numPr>
                <w:ilvl w:val="0"/>
                <w:numId w:val="11"/>
              </w:numPr>
              <w:spacing w:before="60" w:after="60" w:line="240" w:lineRule="auto"/>
              <w:jc w:val="left"/>
              <w:rPr>
                <w:rFonts w:ascii="Arial" w:hAnsi="Arial" w:cs="Arial"/>
                <w:iCs/>
              </w:rPr>
            </w:pPr>
            <w:r w:rsidRPr="00287574">
              <w:rPr>
                <w:rFonts w:ascii="Arial" w:hAnsi="Arial"/>
                <w:iCs/>
              </w:rPr>
              <w:t>Optimisation de l'autoconsommation</w:t>
            </w:r>
          </w:p>
        </w:tc>
      </w:tr>
      <w:tr w:rsidR="00CF7C5D" w:rsidRPr="00287574" w14:paraId="2ECE0A97" w14:textId="77777777" w:rsidTr="00CF7C5D">
        <w:tc>
          <w:tcPr>
            <w:tcW w:w="1177" w:type="pct"/>
          </w:tcPr>
          <w:p w14:paraId="0EC28326" w14:textId="77777777" w:rsidR="00CF7C5D" w:rsidRPr="00287574" w:rsidRDefault="00CF7C5D" w:rsidP="00CF7C5D">
            <w:pPr>
              <w:spacing w:before="60" w:after="60"/>
              <w:jc w:val="left"/>
              <w:rPr>
                <w:rFonts w:cs="Arial"/>
                <w:iCs/>
                <w:color w:val="auto"/>
              </w:rPr>
            </w:pPr>
            <w:r w:rsidRPr="00287574">
              <w:rPr>
                <w:iCs/>
                <w:color w:val="auto"/>
              </w:rPr>
              <w:t>P&amp;R</w:t>
            </w:r>
          </w:p>
        </w:tc>
        <w:tc>
          <w:tcPr>
            <w:tcW w:w="1799" w:type="pct"/>
          </w:tcPr>
          <w:p w14:paraId="572DF5FC" w14:textId="77777777" w:rsidR="00CF7C5D" w:rsidRPr="00287574" w:rsidRDefault="00CF7C5D" w:rsidP="00CF7C5D">
            <w:pPr>
              <w:spacing w:before="60" w:after="60"/>
              <w:jc w:val="left"/>
              <w:rPr>
                <w:rFonts w:cs="Arial"/>
                <w:iCs/>
                <w:color w:val="auto"/>
              </w:rPr>
            </w:pPr>
            <w:r w:rsidRPr="00287574">
              <w:rPr>
                <w:iCs/>
                <w:color w:val="auto"/>
              </w:rPr>
              <w:t>Commande statique</w:t>
            </w:r>
          </w:p>
        </w:tc>
        <w:tc>
          <w:tcPr>
            <w:tcW w:w="2024" w:type="pct"/>
          </w:tcPr>
          <w:p w14:paraId="1942B2B2" w14:textId="77777777" w:rsidR="00CF7C5D" w:rsidRPr="00287574" w:rsidRDefault="00CF7C5D" w:rsidP="00CF7C5D">
            <w:pPr>
              <w:spacing w:before="60" w:after="60"/>
              <w:jc w:val="left"/>
              <w:rPr>
                <w:rFonts w:cs="Arial"/>
                <w:iCs/>
                <w:color w:val="auto"/>
              </w:rPr>
            </w:pPr>
          </w:p>
        </w:tc>
      </w:tr>
    </w:tbl>
    <w:p w14:paraId="0D99927D" w14:textId="004B2C9A" w:rsidR="00CF7C5D" w:rsidRPr="00287574" w:rsidRDefault="00CF7C5D" w:rsidP="00CF7C5D">
      <w:pPr>
        <w:jc w:val="left"/>
        <w:rPr>
          <w:rFonts w:cs="Arial"/>
          <w:color w:val="auto"/>
        </w:rPr>
      </w:pPr>
    </w:p>
    <w:p w14:paraId="55CBA736" w14:textId="276F61D9" w:rsidR="00CF7C5D" w:rsidRPr="00287574" w:rsidRDefault="00CF7C5D" w:rsidP="00334846">
      <w:pPr>
        <w:pStyle w:val="Titre1"/>
        <w:numPr>
          <w:ilvl w:val="0"/>
          <w:numId w:val="17"/>
        </w:numPr>
      </w:pPr>
      <w:bookmarkStart w:id="114" w:name="_Toc22731571"/>
      <w:bookmarkStart w:id="115" w:name="_Toc37844184"/>
      <w:bookmarkStart w:id="116" w:name="_Toc40432359"/>
      <w:r w:rsidRPr="00287574">
        <w:t>Recommandations</w:t>
      </w:r>
      <w:bookmarkEnd w:id="114"/>
      <w:bookmarkEnd w:id="115"/>
      <w:bookmarkEnd w:id="116"/>
    </w:p>
    <w:p w14:paraId="5F68D263" w14:textId="06839926" w:rsidR="00CF7C5D" w:rsidRPr="00287574" w:rsidRDefault="00CF7C5D" w:rsidP="00334846">
      <w:pPr>
        <w:pStyle w:val="Titre2"/>
      </w:pPr>
      <w:bookmarkStart w:id="117" w:name="_Toc22731572"/>
      <w:bookmarkStart w:id="118" w:name="_Toc37844185"/>
      <w:bookmarkStart w:id="119" w:name="_Toc40432360"/>
      <w:r w:rsidRPr="00287574">
        <w:t>Recommandations générales</w:t>
      </w:r>
      <w:bookmarkEnd w:id="117"/>
      <w:bookmarkEnd w:id="118"/>
      <w:bookmarkEnd w:id="119"/>
    </w:p>
    <w:p w14:paraId="535C0F02" w14:textId="2ACB2584" w:rsidR="00CF7C5D" w:rsidRPr="00287574" w:rsidRDefault="00CF7C5D" w:rsidP="00CF7C5D">
      <w:pPr>
        <w:pStyle w:val="Paragraphedeliste"/>
        <w:rPr>
          <w:rFonts w:ascii="Arial" w:hAnsi="Arial" w:cs="Arial"/>
        </w:rPr>
      </w:pPr>
      <w:r w:rsidRPr="00287574">
        <w:rPr>
          <w:rFonts w:ascii="Arial" w:hAnsi="Arial"/>
        </w:rPr>
        <w:t>Comparer les variantes et approches décrites ci-dessus et les adapter à la structure du projet concerné</w:t>
      </w:r>
    </w:p>
    <w:p w14:paraId="0DB8AC60" w14:textId="77777777" w:rsidR="00CF7C5D" w:rsidRPr="00287574" w:rsidRDefault="00CF7C5D" w:rsidP="00CF7C5D">
      <w:pPr>
        <w:pStyle w:val="Paragraphedeliste"/>
        <w:rPr>
          <w:rFonts w:ascii="Arial" w:hAnsi="Arial" w:cs="Arial"/>
        </w:rPr>
      </w:pPr>
      <w:r w:rsidRPr="00287574">
        <w:rPr>
          <w:rFonts w:ascii="Arial" w:hAnsi="Arial"/>
        </w:rPr>
        <w:t>Faire effectuer les calculs par un bureau d'études ou un électricien</w:t>
      </w:r>
    </w:p>
    <w:p w14:paraId="00B9A0E4" w14:textId="4E6B03BB" w:rsidR="00CF7C5D" w:rsidRPr="00287574" w:rsidRDefault="00CF7C5D" w:rsidP="00CF7C5D">
      <w:pPr>
        <w:pStyle w:val="Paragraphedeliste"/>
        <w:rPr>
          <w:rFonts w:ascii="Arial" w:hAnsi="Arial" w:cs="Arial"/>
        </w:rPr>
      </w:pPr>
      <w:r w:rsidRPr="00287574">
        <w:rPr>
          <w:rFonts w:ascii="Arial" w:hAnsi="Arial"/>
        </w:rPr>
        <w:t>Contacter le GRD</w:t>
      </w:r>
    </w:p>
    <w:p w14:paraId="5C5D8537" w14:textId="5BF2093C" w:rsidR="006222D0" w:rsidRPr="00287574" w:rsidRDefault="00CF7C5D" w:rsidP="006222D0">
      <w:pPr>
        <w:pStyle w:val="Paragraphedeliste"/>
        <w:rPr>
          <w:rFonts w:ascii="Arial" w:hAnsi="Arial" w:cs="Arial"/>
        </w:rPr>
      </w:pPr>
      <w:r w:rsidRPr="00287574">
        <w:rPr>
          <w:rFonts w:ascii="Arial" w:hAnsi="Arial"/>
        </w:rPr>
        <w:t>Possibilité de contacter un prestataire de services en cas d'utilisation d'un système de gestion / facturation de la charge</w:t>
      </w:r>
    </w:p>
    <w:p w14:paraId="2C263A4F" w14:textId="713BB216" w:rsidR="00CF7C5D" w:rsidRPr="00287574" w:rsidRDefault="00CF7C5D" w:rsidP="00334846">
      <w:pPr>
        <w:pStyle w:val="Titre2"/>
      </w:pPr>
      <w:bookmarkStart w:id="120" w:name="_Toc22731573"/>
      <w:bookmarkStart w:id="121" w:name="_Toc37844186"/>
      <w:bookmarkStart w:id="122" w:name="_Toc40432361"/>
      <w:r w:rsidRPr="00287574">
        <w:t>Supplément pour les bâtiments existants</w:t>
      </w:r>
      <w:bookmarkEnd w:id="120"/>
      <w:bookmarkEnd w:id="121"/>
      <w:bookmarkEnd w:id="122"/>
    </w:p>
    <w:p w14:paraId="2B496D21" w14:textId="77777777" w:rsidR="003A7BAC" w:rsidRPr="00287574" w:rsidRDefault="00CF7C5D" w:rsidP="00CF7C5D">
      <w:pPr>
        <w:pStyle w:val="Paragraphedeliste"/>
        <w:rPr>
          <w:rFonts w:ascii="Arial" w:hAnsi="Arial" w:cs="Arial"/>
        </w:rPr>
      </w:pPr>
      <w:r w:rsidRPr="00287574">
        <w:rPr>
          <w:rFonts w:ascii="Arial" w:hAnsi="Arial"/>
        </w:rPr>
        <w:t>Lors de la mise à niveau des équipements existants, il est recommandé de confier à un électricien spécialisé la vérification de l'adéquation de l'installation électrique existante pour la recharge de véhicules électriques.</w:t>
      </w:r>
    </w:p>
    <w:p w14:paraId="45F23B19" w14:textId="2CF3295D" w:rsidR="00CF7C5D" w:rsidRPr="00287574" w:rsidRDefault="00B80AC3" w:rsidP="00CF7C5D">
      <w:pPr>
        <w:pStyle w:val="Paragraphedeliste"/>
        <w:rPr>
          <w:rFonts w:ascii="Arial" w:hAnsi="Arial" w:cs="Arial"/>
        </w:rPr>
      </w:pPr>
      <w:r>
        <w:rPr>
          <w:rFonts w:ascii="Arial" w:hAnsi="Arial"/>
        </w:rPr>
        <w:t>U</w:t>
      </w:r>
      <w:r w:rsidR="00CF7C5D" w:rsidRPr="00287574">
        <w:rPr>
          <w:rFonts w:ascii="Arial" w:hAnsi="Arial"/>
        </w:rPr>
        <w:t xml:space="preserve">ne évaluation des conditions existantes (espace requis pour la station de recharge et éventuelle conversion du tableau général basse tension, possibilité de passage de câbles, impact d'un éventuel dispositif de lutte contre l'incendie, issues de secours, etc.) et de la disponibilité des moyens de communication doit être effectuée </w:t>
      </w:r>
      <w:r>
        <w:rPr>
          <w:rFonts w:ascii="Arial" w:hAnsi="Arial"/>
        </w:rPr>
        <w:t>préalablement</w:t>
      </w:r>
      <w:r w:rsidR="00CF7C5D" w:rsidRPr="00287574">
        <w:rPr>
          <w:rFonts w:ascii="Arial" w:hAnsi="Arial"/>
        </w:rPr>
        <w:t>.</w:t>
      </w:r>
    </w:p>
    <w:p w14:paraId="78D20A51" w14:textId="6CA09F4E" w:rsidR="00CF7C5D" w:rsidRPr="00287574" w:rsidRDefault="00F40DB0" w:rsidP="00CF7C5D">
      <w:pPr>
        <w:pStyle w:val="Paragraphedeliste"/>
        <w:rPr>
          <w:rFonts w:ascii="Arial" w:hAnsi="Arial" w:cs="Arial"/>
        </w:rPr>
      </w:pPr>
      <w:r w:rsidRPr="00F40DB0">
        <w:rPr>
          <w:rFonts w:ascii="Arial" w:hAnsi="Arial"/>
        </w:rPr>
        <w:lastRenderedPageBreak/>
        <w:t xml:space="preserve">L'équipement d'une place de stationnement attribuée individuellement avec une borne de recharge dans l'intérêt individuel du propriétaire de la place de stationnement ou de plusieurs propriétaires est avant tout une mesure technique </w:t>
      </w:r>
      <w:r>
        <w:rPr>
          <w:rFonts w:ascii="Arial" w:hAnsi="Arial"/>
        </w:rPr>
        <w:t>individuelle</w:t>
      </w:r>
      <w:r w:rsidRPr="00F40DB0">
        <w:rPr>
          <w:rFonts w:ascii="Arial" w:hAnsi="Arial"/>
        </w:rPr>
        <w:t>.</w:t>
      </w:r>
    </w:p>
    <w:p w14:paraId="36602A24" w14:textId="37BEAEC4" w:rsidR="00026ADD" w:rsidRPr="00287574" w:rsidRDefault="00026ADD" w:rsidP="00CF7C5D">
      <w:pPr>
        <w:pStyle w:val="Paragraphedeliste"/>
        <w:rPr>
          <w:rFonts w:ascii="Arial" w:hAnsi="Arial" w:cs="Arial"/>
        </w:rPr>
      </w:pPr>
      <w:r w:rsidRPr="00287574">
        <w:rPr>
          <w:rFonts w:ascii="Arial" w:hAnsi="Arial"/>
        </w:rPr>
        <w:t>Il convient également de s'assurer que l'approbation du propriétaire ou du syndicat des copropriétaires a été obtenue.</w:t>
      </w:r>
    </w:p>
    <w:p w14:paraId="2CE2B645" w14:textId="690C68E5" w:rsidR="00CF7C5D" w:rsidRPr="00287574" w:rsidRDefault="00CF7C5D" w:rsidP="00CF7C5D">
      <w:pPr>
        <w:pStyle w:val="Paragraphedeliste"/>
        <w:rPr>
          <w:rFonts w:ascii="Arial" w:hAnsi="Arial" w:cs="Arial"/>
        </w:rPr>
      </w:pPr>
      <w:r w:rsidRPr="00287574">
        <w:rPr>
          <w:rFonts w:ascii="Arial" w:hAnsi="Arial"/>
        </w:rPr>
        <w:t xml:space="preserve">Dans certaines circonstances, </w:t>
      </w:r>
      <w:r w:rsidR="003C0229">
        <w:rPr>
          <w:rFonts w:ascii="Arial" w:hAnsi="Arial"/>
        </w:rPr>
        <w:t>il est nécessaire de prévoir l’</w:t>
      </w:r>
      <w:r w:rsidRPr="00287574">
        <w:rPr>
          <w:rFonts w:ascii="Arial" w:hAnsi="Arial"/>
        </w:rPr>
        <w:t xml:space="preserve">adaptation des contrats de location existants </w:t>
      </w:r>
      <w:r w:rsidR="00F71EDB">
        <w:rPr>
          <w:rFonts w:ascii="Arial" w:hAnsi="Arial"/>
        </w:rPr>
        <w:t>ainsi que</w:t>
      </w:r>
      <w:r w:rsidR="00F71EDB" w:rsidRPr="00287574">
        <w:rPr>
          <w:rFonts w:ascii="Arial" w:hAnsi="Arial"/>
        </w:rPr>
        <w:t xml:space="preserve"> </w:t>
      </w:r>
      <w:r w:rsidR="003C0229">
        <w:rPr>
          <w:rFonts w:ascii="Arial" w:hAnsi="Arial"/>
        </w:rPr>
        <w:t xml:space="preserve">la </w:t>
      </w:r>
      <w:r w:rsidRPr="00287574">
        <w:rPr>
          <w:rFonts w:ascii="Arial" w:hAnsi="Arial"/>
        </w:rPr>
        <w:t>clarification éventuelle de l</w:t>
      </w:r>
      <w:r w:rsidR="003C0229">
        <w:rPr>
          <w:rFonts w:ascii="Arial" w:hAnsi="Arial"/>
        </w:rPr>
        <w:t>’état d</w:t>
      </w:r>
      <w:r w:rsidRPr="00287574">
        <w:rPr>
          <w:rFonts w:ascii="Arial" w:hAnsi="Arial"/>
        </w:rPr>
        <w:t>'inventaire existant</w:t>
      </w:r>
      <w:r w:rsidR="003C0229">
        <w:rPr>
          <w:rFonts w:ascii="Arial" w:hAnsi="Arial"/>
        </w:rPr>
        <w:t>.</w:t>
      </w:r>
    </w:p>
    <w:p w14:paraId="10773DD3" w14:textId="1A781123" w:rsidR="00CF7C5D" w:rsidRPr="00287574" w:rsidRDefault="00CF7C5D" w:rsidP="00CF7C5D">
      <w:pPr>
        <w:pStyle w:val="Paragraphedeliste"/>
        <w:rPr>
          <w:rFonts w:ascii="Arial" w:hAnsi="Arial" w:cs="Arial"/>
        </w:rPr>
      </w:pPr>
      <w:r w:rsidRPr="00287574">
        <w:rPr>
          <w:rFonts w:ascii="Arial" w:hAnsi="Arial"/>
        </w:rPr>
        <w:t>Adoption du compteur intelligent « </w:t>
      </w:r>
      <w:proofErr w:type="spellStart"/>
      <w:r w:rsidRPr="00287574">
        <w:rPr>
          <w:rFonts w:ascii="Arial" w:hAnsi="Arial"/>
        </w:rPr>
        <w:t>Smarty</w:t>
      </w:r>
      <w:proofErr w:type="spellEnd"/>
      <w:r w:rsidRPr="00287574">
        <w:rPr>
          <w:rFonts w:ascii="Arial" w:hAnsi="Arial"/>
        </w:rPr>
        <w:t> » (si ce n'est déjà fait)</w:t>
      </w:r>
    </w:p>
    <w:p w14:paraId="498B8970" w14:textId="0B362CFB" w:rsidR="00CF7C5D" w:rsidRPr="00287574" w:rsidRDefault="00CF7C5D" w:rsidP="00CF7C5D">
      <w:pPr>
        <w:pStyle w:val="Paragraphedeliste"/>
        <w:rPr>
          <w:rFonts w:ascii="Arial" w:hAnsi="Arial" w:cs="Arial"/>
        </w:rPr>
      </w:pPr>
      <w:r w:rsidRPr="00287574">
        <w:rPr>
          <w:rFonts w:ascii="Arial" w:hAnsi="Arial"/>
        </w:rPr>
        <w:t>Dans les bâtiments déjà dotés d'un système parafoudre, il convient de vérifier que le parafoudre interne est conforme aux normes DIN EN 62305-3 et DIN EN 62305-4 et quelles améliorations sont éventuellement nécessaires.</w:t>
      </w:r>
    </w:p>
    <w:p w14:paraId="576797E6" w14:textId="77777777" w:rsidR="00CF7C5D" w:rsidRPr="00287574" w:rsidRDefault="00CF7C5D" w:rsidP="00CF7C5D">
      <w:pPr>
        <w:pStyle w:val="freerow"/>
        <w:rPr>
          <w:rFonts w:ascii="Arial" w:hAnsi="Arial" w:cs="Arial"/>
        </w:rPr>
      </w:pPr>
      <w:bookmarkStart w:id="123" w:name="_Toc510618855"/>
      <w:bookmarkStart w:id="124" w:name="_Toc510619032"/>
      <w:bookmarkStart w:id="125" w:name="_Toc510619235"/>
      <w:bookmarkStart w:id="126" w:name="_Toc510619273"/>
      <w:bookmarkStart w:id="127" w:name="_Toc510619311"/>
      <w:bookmarkStart w:id="128" w:name="_Toc510619343"/>
      <w:bookmarkStart w:id="129" w:name="_Toc510619656"/>
      <w:bookmarkStart w:id="130" w:name="_Toc508111227"/>
      <w:bookmarkStart w:id="131" w:name="_Toc508111502"/>
      <w:bookmarkStart w:id="132" w:name="_Toc508115084"/>
      <w:bookmarkStart w:id="133" w:name="_Toc508115149"/>
      <w:bookmarkStart w:id="134" w:name="_Toc508115214"/>
      <w:bookmarkStart w:id="135" w:name="_Toc508115260"/>
      <w:bookmarkStart w:id="136" w:name="_Toc508115325"/>
      <w:bookmarkStart w:id="137" w:name="_Toc508115390"/>
      <w:bookmarkStart w:id="138" w:name="_Toc508115455"/>
      <w:bookmarkStart w:id="139" w:name="_Toc508119894"/>
      <w:bookmarkStart w:id="140" w:name="_Toc508111228"/>
      <w:bookmarkStart w:id="141" w:name="_Toc508111503"/>
      <w:bookmarkStart w:id="142" w:name="_Toc508115085"/>
      <w:bookmarkStart w:id="143" w:name="_Toc508115150"/>
      <w:bookmarkStart w:id="144" w:name="_Toc508115215"/>
      <w:bookmarkStart w:id="145" w:name="_Toc508115261"/>
      <w:bookmarkStart w:id="146" w:name="_Toc508115326"/>
      <w:bookmarkStart w:id="147" w:name="_Toc508115391"/>
      <w:bookmarkStart w:id="148" w:name="_Toc508115456"/>
      <w:bookmarkStart w:id="149" w:name="_Toc508119895"/>
      <w:bookmarkStart w:id="150" w:name="_Toc508115342"/>
      <w:bookmarkStart w:id="151" w:name="_Toc508115407"/>
      <w:bookmarkStart w:id="152" w:name="_Toc508115472"/>
      <w:bookmarkStart w:id="153" w:name="_Toc508119911"/>
      <w:bookmarkStart w:id="154" w:name="_Toc508115102"/>
      <w:bookmarkStart w:id="155" w:name="_Toc508115167"/>
      <w:bookmarkStart w:id="156" w:name="_Toc508115278"/>
      <w:bookmarkStart w:id="157" w:name="_Toc508115343"/>
      <w:bookmarkStart w:id="158" w:name="_Toc508115408"/>
      <w:bookmarkStart w:id="159" w:name="_Toc508115473"/>
      <w:bookmarkStart w:id="160" w:name="_Toc508119912"/>
      <w:bookmarkStart w:id="161" w:name="_Toc508115103"/>
      <w:bookmarkStart w:id="162" w:name="_Toc508115168"/>
      <w:bookmarkStart w:id="163" w:name="_Toc508115279"/>
      <w:bookmarkStart w:id="164" w:name="_Toc508115344"/>
      <w:bookmarkStart w:id="165" w:name="_Toc508115409"/>
      <w:bookmarkStart w:id="166" w:name="_Toc508115474"/>
      <w:bookmarkStart w:id="167" w:name="_Toc508119913"/>
      <w:bookmarkStart w:id="168" w:name="_Toc508115104"/>
      <w:bookmarkStart w:id="169" w:name="_Toc508115169"/>
      <w:bookmarkStart w:id="170" w:name="_Toc508115280"/>
      <w:bookmarkStart w:id="171" w:name="_Toc508115345"/>
      <w:bookmarkStart w:id="172" w:name="_Toc508115410"/>
      <w:bookmarkStart w:id="173" w:name="_Toc508115475"/>
      <w:bookmarkStart w:id="174" w:name="_Toc508119914"/>
      <w:bookmarkStart w:id="175" w:name="_Toc508115105"/>
      <w:bookmarkStart w:id="176" w:name="_Toc508115170"/>
      <w:bookmarkStart w:id="177" w:name="_Toc508115281"/>
      <w:bookmarkStart w:id="178" w:name="_Toc508115346"/>
      <w:bookmarkStart w:id="179" w:name="_Toc508115411"/>
      <w:bookmarkStart w:id="180" w:name="_Toc508115476"/>
      <w:bookmarkStart w:id="181" w:name="_Toc508119915"/>
      <w:bookmarkStart w:id="182" w:name="_Toc508115106"/>
      <w:bookmarkStart w:id="183" w:name="_Toc508115171"/>
      <w:bookmarkStart w:id="184" w:name="_Toc508115282"/>
      <w:bookmarkStart w:id="185" w:name="_Toc508115347"/>
      <w:bookmarkStart w:id="186" w:name="_Toc508115412"/>
      <w:bookmarkStart w:id="187" w:name="_Toc508115477"/>
      <w:bookmarkStart w:id="188" w:name="_Toc508119916"/>
      <w:bookmarkStart w:id="189" w:name="_Toc508115107"/>
      <w:bookmarkStart w:id="190" w:name="_Toc508115172"/>
      <w:bookmarkStart w:id="191" w:name="_Toc508115283"/>
      <w:bookmarkStart w:id="192" w:name="_Toc508115348"/>
      <w:bookmarkStart w:id="193" w:name="_Toc508115413"/>
      <w:bookmarkStart w:id="194" w:name="_Toc508115478"/>
      <w:bookmarkStart w:id="195" w:name="_Toc508119917"/>
      <w:bookmarkStart w:id="196" w:name="_Toc508115108"/>
      <w:bookmarkStart w:id="197" w:name="_Toc508115173"/>
      <w:bookmarkStart w:id="198" w:name="_Toc508115284"/>
      <w:bookmarkStart w:id="199" w:name="_Toc508115349"/>
      <w:bookmarkStart w:id="200" w:name="_Toc508115414"/>
      <w:bookmarkStart w:id="201" w:name="_Toc508115479"/>
      <w:bookmarkStart w:id="202" w:name="_Toc508119918"/>
      <w:bookmarkStart w:id="203" w:name="_Toc508115109"/>
      <w:bookmarkStart w:id="204" w:name="_Toc508115174"/>
      <w:bookmarkStart w:id="205" w:name="_Toc508115285"/>
      <w:bookmarkStart w:id="206" w:name="_Toc508115350"/>
      <w:bookmarkStart w:id="207" w:name="_Toc508115415"/>
      <w:bookmarkStart w:id="208" w:name="_Toc508115480"/>
      <w:bookmarkStart w:id="209" w:name="_Toc508119919"/>
      <w:bookmarkStart w:id="210" w:name="_Toc508115110"/>
      <w:bookmarkStart w:id="211" w:name="_Toc508115175"/>
      <w:bookmarkStart w:id="212" w:name="_Toc508115286"/>
      <w:bookmarkStart w:id="213" w:name="_Toc508115351"/>
      <w:bookmarkStart w:id="214" w:name="_Toc508115416"/>
      <w:bookmarkStart w:id="215" w:name="_Toc508115481"/>
      <w:bookmarkStart w:id="216" w:name="_Toc508119920"/>
      <w:bookmarkStart w:id="217" w:name="_Toc508115111"/>
      <w:bookmarkStart w:id="218" w:name="_Toc508115176"/>
      <w:bookmarkStart w:id="219" w:name="_Toc508115287"/>
      <w:bookmarkStart w:id="220" w:name="_Toc508115352"/>
      <w:bookmarkStart w:id="221" w:name="_Toc508115417"/>
      <w:bookmarkStart w:id="222" w:name="_Toc508115482"/>
      <w:bookmarkStart w:id="223" w:name="_Toc508119921"/>
      <w:bookmarkStart w:id="224" w:name="_Toc508115112"/>
      <w:bookmarkStart w:id="225" w:name="_Toc508115177"/>
      <w:bookmarkStart w:id="226" w:name="_Toc508115288"/>
      <w:bookmarkStart w:id="227" w:name="_Toc508115353"/>
      <w:bookmarkStart w:id="228" w:name="_Toc508115418"/>
      <w:bookmarkStart w:id="229" w:name="_Toc508115483"/>
      <w:bookmarkStart w:id="230" w:name="_Toc508119922"/>
      <w:bookmarkStart w:id="231" w:name="_Toc508115113"/>
      <w:bookmarkStart w:id="232" w:name="_Toc508115178"/>
      <w:bookmarkStart w:id="233" w:name="_Toc508115289"/>
      <w:bookmarkStart w:id="234" w:name="_Toc508115354"/>
      <w:bookmarkStart w:id="235" w:name="_Toc508115419"/>
      <w:bookmarkStart w:id="236" w:name="_Toc508115484"/>
      <w:bookmarkStart w:id="237" w:name="_Toc508119923"/>
      <w:bookmarkStart w:id="238" w:name="_Toc508115114"/>
      <w:bookmarkStart w:id="239" w:name="_Toc508115179"/>
      <w:bookmarkStart w:id="240" w:name="_Toc508115290"/>
      <w:bookmarkStart w:id="241" w:name="_Toc508115355"/>
      <w:bookmarkStart w:id="242" w:name="_Toc508115420"/>
      <w:bookmarkStart w:id="243" w:name="_Toc508115485"/>
      <w:bookmarkStart w:id="244" w:name="_Toc508119924"/>
      <w:bookmarkStart w:id="245" w:name="_Toc508115115"/>
      <w:bookmarkStart w:id="246" w:name="_Toc508115180"/>
      <w:bookmarkStart w:id="247" w:name="_Toc508115291"/>
      <w:bookmarkStart w:id="248" w:name="_Toc508115356"/>
      <w:bookmarkStart w:id="249" w:name="_Toc508115421"/>
      <w:bookmarkStart w:id="250" w:name="_Toc508115486"/>
      <w:bookmarkStart w:id="251" w:name="_Toc508119925"/>
      <w:bookmarkStart w:id="252" w:name="_Toc508115116"/>
      <w:bookmarkStart w:id="253" w:name="_Toc508115181"/>
      <w:bookmarkStart w:id="254" w:name="_Toc508115292"/>
      <w:bookmarkStart w:id="255" w:name="_Toc508115357"/>
      <w:bookmarkStart w:id="256" w:name="_Toc508115422"/>
      <w:bookmarkStart w:id="257" w:name="_Toc508115487"/>
      <w:bookmarkStart w:id="258" w:name="_Toc508119926"/>
      <w:bookmarkStart w:id="259" w:name="_Toc508115117"/>
      <w:bookmarkStart w:id="260" w:name="_Toc508115182"/>
      <w:bookmarkStart w:id="261" w:name="_Toc508115293"/>
      <w:bookmarkStart w:id="262" w:name="_Toc508115358"/>
      <w:bookmarkStart w:id="263" w:name="_Toc508115423"/>
      <w:bookmarkStart w:id="264" w:name="_Toc508115488"/>
      <w:bookmarkStart w:id="265" w:name="_Toc508119927"/>
      <w:bookmarkStart w:id="266" w:name="_Toc508115118"/>
      <w:bookmarkStart w:id="267" w:name="_Toc508115183"/>
      <w:bookmarkStart w:id="268" w:name="_Toc508115294"/>
      <w:bookmarkStart w:id="269" w:name="_Toc508115359"/>
      <w:bookmarkStart w:id="270" w:name="_Toc508115424"/>
      <w:bookmarkStart w:id="271" w:name="_Toc508115489"/>
      <w:bookmarkStart w:id="272" w:name="_Toc508119928"/>
      <w:bookmarkStart w:id="273" w:name="_Toc510619671"/>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485ECB1E" w14:textId="60A1D082" w:rsidR="00CF7C5D" w:rsidRPr="00287574" w:rsidRDefault="00CF7C5D" w:rsidP="00334846">
      <w:pPr>
        <w:pStyle w:val="Titre1"/>
        <w:numPr>
          <w:ilvl w:val="0"/>
          <w:numId w:val="17"/>
        </w:numPr>
        <w:rPr>
          <w:rFonts w:eastAsia="Times New Roman"/>
        </w:rPr>
      </w:pPr>
      <w:bookmarkStart w:id="274" w:name="_Toc22731574"/>
      <w:bookmarkStart w:id="275" w:name="_Toc37844187"/>
      <w:bookmarkStart w:id="276" w:name="_Toc40432362"/>
      <w:bookmarkEnd w:id="273"/>
      <w:r w:rsidRPr="00287574">
        <w:t>Interlocuteurs</w:t>
      </w:r>
      <w:bookmarkEnd w:id="274"/>
      <w:bookmarkEnd w:id="275"/>
      <w:bookmarkEnd w:id="276"/>
    </w:p>
    <w:p w14:paraId="471D3BF8" w14:textId="1C21193F" w:rsidR="00CF7C5D" w:rsidRPr="00287574" w:rsidRDefault="00CF7C5D" w:rsidP="00CF7C5D">
      <w:pPr>
        <w:pStyle w:val="Paragraphedeliste"/>
        <w:rPr>
          <w:rFonts w:ascii="Arial" w:hAnsi="Arial" w:cs="Arial"/>
        </w:rPr>
      </w:pPr>
      <w:r w:rsidRPr="00287574">
        <w:rPr>
          <w:rFonts w:ascii="Arial" w:hAnsi="Arial"/>
          <w:b/>
        </w:rPr>
        <w:t>Concessionnaire automobile :</w:t>
      </w:r>
      <w:r w:rsidRPr="00287574">
        <w:rPr>
          <w:rFonts w:ascii="Arial" w:hAnsi="Arial"/>
        </w:rPr>
        <w:t xml:space="preserve"> informations sur le connecteur de recharge, la puissance de recharge maximale (kW) et l'autonomie (autonomie en km et </w:t>
      </w:r>
      <w:r w:rsidR="003C0229">
        <w:rPr>
          <w:rFonts w:ascii="Arial" w:hAnsi="Arial"/>
        </w:rPr>
        <w:t>capacité</w:t>
      </w:r>
      <w:r w:rsidR="003C0229" w:rsidRPr="00287574">
        <w:rPr>
          <w:rFonts w:ascii="Arial" w:hAnsi="Arial"/>
        </w:rPr>
        <w:t xml:space="preserve"> </w:t>
      </w:r>
      <w:r w:rsidRPr="00287574">
        <w:rPr>
          <w:rFonts w:ascii="Arial" w:hAnsi="Arial"/>
        </w:rPr>
        <w:t xml:space="preserve">de </w:t>
      </w:r>
      <w:r w:rsidR="003C0229">
        <w:rPr>
          <w:rFonts w:ascii="Arial" w:hAnsi="Arial"/>
        </w:rPr>
        <w:t xml:space="preserve">la </w:t>
      </w:r>
      <w:r w:rsidRPr="00287574">
        <w:rPr>
          <w:rFonts w:ascii="Arial" w:hAnsi="Arial"/>
        </w:rPr>
        <w:t>batterie en kWh) du véhicule ainsi que sur les offres de solutions complètes pour l'installation d'une station de recharge (essentiellement pour les maisons individuelles et les petits immeubles résidentiels)</w:t>
      </w:r>
      <w:r w:rsidR="003C0229">
        <w:rPr>
          <w:rFonts w:ascii="Arial" w:hAnsi="Arial"/>
        </w:rPr>
        <w:t>.</w:t>
      </w:r>
    </w:p>
    <w:p w14:paraId="47927A6D" w14:textId="2134F628" w:rsidR="00CF7C5D" w:rsidRPr="00287574" w:rsidRDefault="002A75A2" w:rsidP="00CF7C5D">
      <w:pPr>
        <w:pStyle w:val="Paragraphedeliste"/>
        <w:rPr>
          <w:rFonts w:ascii="Arial" w:hAnsi="Arial" w:cs="Arial"/>
        </w:rPr>
      </w:pPr>
      <w:r w:rsidRPr="00287574">
        <w:rPr>
          <w:rFonts w:ascii="Arial" w:hAnsi="Arial"/>
          <w:b/>
        </w:rPr>
        <w:t>Gestionnaire d</w:t>
      </w:r>
      <w:r w:rsidR="00E85F7B">
        <w:rPr>
          <w:rFonts w:ascii="Arial" w:hAnsi="Arial"/>
          <w:b/>
        </w:rPr>
        <w:t>e</w:t>
      </w:r>
      <w:r w:rsidRPr="00287574">
        <w:rPr>
          <w:rFonts w:ascii="Arial" w:hAnsi="Arial"/>
          <w:b/>
        </w:rPr>
        <w:t xml:space="preserve"> réseau</w:t>
      </w:r>
      <w:r w:rsidR="00643EE2">
        <w:rPr>
          <w:rFonts w:ascii="Arial" w:hAnsi="Arial"/>
          <w:b/>
        </w:rPr>
        <w:t>x</w:t>
      </w:r>
      <w:r w:rsidRPr="00287574">
        <w:rPr>
          <w:rFonts w:ascii="Arial" w:hAnsi="Arial"/>
          <w:b/>
        </w:rPr>
        <w:t xml:space="preserve"> de distribution (GRD) :</w:t>
      </w:r>
      <w:r w:rsidRPr="00287574">
        <w:rPr>
          <w:rFonts w:ascii="Arial" w:hAnsi="Arial"/>
        </w:rPr>
        <w:t xml:space="preserve"> </w:t>
      </w:r>
      <w:r w:rsidR="004C1DA7" w:rsidRPr="00E85F7B">
        <w:rPr>
          <w:rFonts w:ascii="Arial" w:hAnsi="Arial"/>
        </w:rPr>
        <w:t>autorisation</w:t>
      </w:r>
      <w:r w:rsidRPr="00643EE2">
        <w:rPr>
          <w:rFonts w:ascii="Arial" w:hAnsi="Arial"/>
        </w:rPr>
        <w:t xml:space="preserve"> ou notification</w:t>
      </w:r>
      <w:r w:rsidRPr="00287574">
        <w:rPr>
          <w:rFonts w:ascii="Arial" w:hAnsi="Arial"/>
        </w:rPr>
        <w:t xml:space="preserve"> de l'installation et, si nécessaire, demande d'un compteur supplémentaire ou </w:t>
      </w:r>
      <w:r w:rsidR="003C0229">
        <w:rPr>
          <w:rFonts w:ascii="Arial" w:hAnsi="Arial"/>
        </w:rPr>
        <w:t xml:space="preserve">une </w:t>
      </w:r>
      <w:r w:rsidR="003C0229" w:rsidRPr="00287574">
        <w:rPr>
          <w:rFonts w:ascii="Arial" w:hAnsi="Arial"/>
        </w:rPr>
        <w:t xml:space="preserve">augmentation </w:t>
      </w:r>
      <w:r w:rsidRPr="00287574">
        <w:rPr>
          <w:rFonts w:ascii="Arial" w:hAnsi="Arial"/>
        </w:rPr>
        <w:t xml:space="preserve">de la puissance de raccordement ; vérification de l'installation électrique existante (si requis par les </w:t>
      </w:r>
      <w:r w:rsidR="00231776">
        <w:rPr>
          <w:rFonts w:ascii="Arial" w:hAnsi="Arial"/>
        </w:rPr>
        <w:t>TAB</w:t>
      </w:r>
      <w:r w:rsidRPr="00287574">
        <w:rPr>
          <w:rFonts w:ascii="Arial" w:hAnsi="Arial"/>
        </w:rPr>
        <w:t>)</w:t>
      </w:r>
      <w:r w:rsidR="003C0229">
        <w:rPr>
          <w:rFonts w:ascii="Arial" w:hAnsi="Arial"/>
        </w:rPr>
        <w:t>.</w:t>
      </w:r>
    </w:p>
    <w:p w14:paraId="596F7F90" w14:textId="4ACCD477" w:rsidR="00CF7C5D" w:rsidRPr="00287574" w:rsidRDefault="00CF7C5D" w:rsidP="00CF7C5D">
      <w:pPr>
        <w:pStyle w:val="Paragraphedeliste"/>
        <w:rPr>
          <w:rFonts w:ascii="Arial" w:hAnsi="Arial" w:cs="Arial"/>
        </w:rPr>
      </w:pPr>
      <w:r w:rsidRPr="00287574">
        <w:rPr>
          <w:rFonts w:ascii="Arial" w:hAnsi="Arial"/>
          <w:b/>
        </w:rPr>
        <w:t>Acteurs du marché de l'énergie (par ex., prestataires de services) :</w:t>
      </w:r>
      <w:r w:rsidRPr="00287574">
        <w:rPr>
          <w:rFonts w:ascii="Arial" w:hAnsi="Arial"/>
        </w:rPr>
        <w:t xml:space="preserve"> offre de solutions complètes / finies, vente et installation de la station de recharge murale, éventuellement aussi de systèmes de gestion de charge</w:t>
      </w:r>
      <w:r w:rsidR="003C0229">
        <w:rPr>
          <w:rFonts w:ascii="Arial" w:hAnsi="Arial"/>
        </w:rPr>
        <w:t>.</w:t>
      </w:r>
    </w:p>
    <w:p w14:paraId="257D9A98" w14:textId="2EFFC13B" w:rsidR="00CF7C5D" w:rsidRPr="00287574" w:rsidRDefault="00CF7C5D" w:rsidP="00CF7C5D">
      <w:pPr>
        <w:pStyle w:val="Paragraphedeliste"/>
        <w:rPr>
          <w:rFonts w:ascii="Arial" w:hAnsi="Arial" w:cs="Arial"/>
        </w:rPr>
      </w:pPr>
      <w:r w:rsidRPr="00287574">
        <w:rPr>
          <w:rFonts w:ascii="Arial" w:hAnsi="Arial"/>
          <w:b/>
        </w:rPr>
        <w:t>Planificateur :</w:t>
      </w:r>
      <w:r w:rsidRPr="00287574">
        <w:rPr>
          <w:rFonts w:ascii="Arial" w:hAnsi="Arial"/>
        </w:rPr>
        <w:t xml:space="preserve"> conception et calcul du concept global de l'infrastructure de recharge, évaluation des options dans le bâtiment existant</w:t>
      </w:r>
      <w:r w:rsidR="003C0229">
        <w:rPr>
          <w:rFonts w:ascii="Arial" w:hAnsi="Arial"/>
        </w:rPr>
        <w:t>.</w:t>
      </w:r>
    </w:p>
    <w:p w14:paraId="5EA0868B" w14:textId="24A4D2C5" w:rsidR="00CF7C5D" w:rsidRPr="00287574" w:rsidRDefault="00CF7C5D" w:rsidP="00CF7C5D">
      <w:pPr>
        <w:pStyle w:val="Paragraphedeliste"/>
        <w:rPr>
          <w:rFonts w:ascii="Arial" w:hAnsi="Arial" w:cs="Arial"/>
        </w:rPr>
      </w:pPr>
      <w:r w:rsidRPr="00287574">
        <w:rPr>
          <w:rFonts w:ascii="Arial" w:hAnsi="Arial"/>
          <w:b/>
        </w:rPr>
        <w:t>Électricien :</w:t>
      </w:r>
      <w:r w:rsidRPr="00287574">
        <w:rPr>
          <w:rFonts w:ascii="Arial" w:hAnsi="Arial"/>
        </w:rPr>
        <w:t xml:space="preserve"> acquisition et installation de la station de recharge, obtention de l'approbation et notification de l'installation au GRD</w:t>
      </w:r>
      <w:r w:rsidR="003C0229">
        <w:rPr>
          <w:rFonts w:ascii="Arial" w:hAnsi="Arial"/>
        </w:rPr>
        <w:t>.</w:t>
      </w:r>
    </w:p>
    <w:p w14:paraId="165ECD4C" w14:textId="62369D57" w:rsidR="008A12E9" w:rsidRPr="00287574" w:rsidRDefault="008A12E9" w:rsidP="008A12E9">
      <w:pPr>
        <w:pStyle w:val="Paragraphedeliste"/>
        <w:rPr>
          <w:rFonts w:ascii="Arial" w:hAnsi="Arial" w:cs="Arial"/>
        </w:rPr>
      </w:pPr>
      <w:r w:rsidRPr="00287574">
        <w:rPr>
          <w:rFonts w:ascii="Arial" w:hAnsi="Arial"/>
          <w:b/>
        </w:rPr>
        <w:t>Exploitants de stations de recharge externes :</w:t>
      </w:r>
      <w:r w:rsidRPr="00287574">
        <w:rPr>
          <w:rFonts w:ascii="Arial" w:hAnsi="Arial"/>
        </w:rPr>
        <w:t xml:space="preserve"> offre de solutions forfaitaires (construction et exploitation des points de recharge, facturation et répartition des coûts de recharge) pour la fourniture d'infrastructures de recharge électrique, entre autres pour les bâtiments résidentiels</w:t>
      </w:r>
      <w:r w:rsidR="003C0229">
        <w:rPr>
          <w:rFonts w:ascii="Arial" w:hAnsi="Arial"/>
        </w:rPr>
        <w:t>.</w:t>
      </w:r>
    </w:p>
    <w:p w14:paraId="4F566DB8" w14:textId="30C6B0CD" w:rsidR="00CF7C5D" w:rsidRPr="00287574" w:rsidRDefault="00E90703" w:rsidP="00CF7C5D">
      <w:pPr>
        <w:pStyle w:val="Paragraphedeliste"/>
        <w:rPr>
          <w:rFonts w:ascii="Arial" w:hAnsi="Arial" w:cs="Arial"/>
        </w:rPr>
      </w:pPr>
      <w:r>
        <w:rPr>
          <w:rFonts w:ascii="Arial" w:hAnsi="Arial"/>
          <w:b/>
        </w:rPr>
        <w:t>Klima-Agence</w:t>
      </w:r>
      <w:r w:rsidR="00CF7C5D" w:rsidRPr="00287574">
        <w:rPr>
          <w:rFonts w:ascii="Arial" w:hAnsi="Arial"/>
          <w:b/>
        </w:rPr>
        <w:t> :</w:t>
      </w:r>
      <w:r w:rsidR="00CF7C5D" w:rsidRPr="00287574">
        <w:rPr>
          <w:rFonts w:ascii="Arial" w:hAnsi="Arial"/>
        </w:rPr>
        <w:t xml:space="preserve"> partenaire </w:t>
      </w:r>
      <w:r>
        <w:rPr>
          <w:rFonts w:ascii="Arial" w:hAnsi="Arial"/>
        </w:rPr>
        <w:t>en matière d’énergie et de climat</w:t>
      </w:r>
      <w:r w:rsidR="00CF7C5D" w:rsidRPr="00287574">
        <w:rPr>
          <w:rFonts w:ascii="Arial" w:hAnsi="Arial"/>
        </w:rPr>
        <w:t xml:space="preserve">, </w:t>
      </w:r>
      <w:r>
        <w:rPr>
          <w:rFonts w:ascii="Arial" w:hAnsi="Arial"/>
        </w:rPr>
        <w:t>Klima-Agence</w:t>
      </w:r>
      <w:r w:rsidR="00CF7C5D" w:rsidRPr="00287574">
        <w:rPr>
          <w:rFonts w:ascii="Arial" w:hAnsi="Arial"/>
        </w:rPr>
        <w:t xml:space="preserve"> est également disponible pour répondre aux questions sur la mobilité durable.</w:t>
      </w:r>
    </w:p>
    <w:p w14:paraId="7B0AE851" w14:textId="1426B391" w:rsidR="00CF7C5D" w:rsidRPr="00287574" w:rsidRDefault="00CF7C5D" w:rsidP="00CF7C5D">
      <w:pPr>
        <w:jc w:val="left"/>
        <w:rPr>
          <w:rFonts w:cs="Arial"/>
          <w:color w:val="auto"/>
        </w:rPr>
      </w:pPr>
    </w:p>
    <w:p w14:paraId="6C7F7883" w14:textId="36031A8D" w:rsidR="00CF7C5D" w:rsidRPr="00287574" w:rsidRDefault="00CF7C5D" w:rsidP="00334846">
      <w:pPr>
        <w:pStyle w:val="Titre1"/>
        <w:numPr>
          <w:ilvl w:val="0"/>
          <w:numId w:val="17"/>
        </w:numPr>
      </w:pPr>
      <w:bookmarkStart w:id="277" w:name="_Toc22731575"/>
      <w:bookmarkStart w:id="278" w:name="_Toc37844188"/>
      <w:bookmarkStart w:id="279" w:name="_Toc40432363"/>
      <w:r w:rsidRPr="00287574">
        <w:t>Annexe 1 : Présentation des normes et protocoles de charge</w:t>
      </w:r>
      <w:bookmarkEnd w:id="277"/>
      <w:bookmarkEnd w:id="278"/>
      <w:bookmarkEnd w:id="279"/>
    </w:p>
    <w:p w14:paraId="713F3AFD" w14:textId="32874058" w:rsidR="00CF7C5D" w:rsidRPr="00287574" w:rsidRDefault="00CF7C5D" w:rsidP="00CF7C5D">
      <w:pPr>
        <w:rPr>
          <w:rFonts w:cs="Arial"/>
          <w:color w:val="auto"/>
        </w:rPr>
      </w:pPr>
      <w:r w:rsidRPr="00287574">
        <w:rPr>
          <w:color w:val="auto"/>
        </w:rPr>
        <w:t xml:space="preserve">Le diagramme suivant présente les normes et protocoles de charge existants ainsi que leur interaction avec les différents composants ou acteurs de l'infrastructure de charge (source : </w:t>
      </w:r>
      <w:proofErr w:type="spellStart"/>
      <w:r w:rsidRPr="00287574">
        <w:rPr>
          <w:color w:val="auto"/>
        </w:rPr>
        <w:t>ElaadNL</w:t>
      </w:r>
      <w:proofErr w:type="spellEnd"/>
      <w:r w:rsidRPr="00287574">
        <w:rPr>
          <w:color w:val="auto"/>
        </w:rPr>
        <w:t xml:space="preserve"> EV </w:t>
      </w:r>
      <w:proofErr w:type="spellStart"/>
      <w:r w:rsidRPr="00287574">
        <w:rPr>
          <w:color w:val="auto"/>
        </w:rPr>
        <w:t>related</w:t>
      </w:r>
      <w:proofErr w:type="spellEnd"/>
      <w:r w:rsidRPr="00287574">
        <w:rPr>
          <w:color w:val="auto"/>
        </w:rPr>
        <w:t xml:space="preserve"> </w:t>
      </w:r>
      <w:proofErr w:type="spellStart"/>
      <w:r w:rsidRPr="00287574">
        <w:rPr>
          <w:color w:val="auto"/>
        </w:rPr>
        <w:t>protocol</w:t>
      </w:r>
      <w:proofErr w:type="spellEnd"/>
      <w:r w:rsidRPr="00287574">
        <w:rPr>
          <w:color w:val="auto"/>
        </w:rPr>
        <w:t xml:space="preserve"> </w:t>
      </w:r>
      <w:proofErr w:type="spellStart"/>
      <w:r w:rsidRPr="00287574">
        <w:rPr>
          <w:color w:val="auto"/>
        </w:rPr>
        <w:t>study</w:t>
      </w:r>
      <w:proofErr w:type="spellEnd"/>
      <w:r w:rsidRPr="00287574">
        <w:rPr>
          <w:color w:val="auto"/>
        </w:rPr>
        <w:t xml:space="preserve"> v1.1, 2016).</w:t>
      </w:r>
    </w:p>
    <w:p w14:paraId="5FF43D4B" w14:textId="77777777" w:rsidR="008A12E9" w:rsidRPr="00287574" w:rsidRDefault="008A12E9" w:rsidP="00CF7C5D">
      <w:pPr>
        <w:rPr>
          <w:rFonts w:cs="Arial"/>
          <w:color w:val="auto"/>
        </w:rPr>
      </w:pPr>
    </w:p>
    <w:p w14:paraId="21C6F06D" w14:textId="4F85529F" w:rsidR="00CF7C5D" w:rsidRPr="00287574" w:rsidRDefault="00CF7C5D" w:rsidP="00FF16FC">
      <w:pPr>
        <w:jc w:val="center"/>
        <w:rPr>
          <w:rFonts w:cs="Arial"/>
          <w:color w:val="auto"/>
          <w:szCs w:val="22"/>
        </w:rPr>
      </w:pPr>
      <w:r w:rsidRPr="00287574">
        <w:rPr>
          <w:noProof/>
          <w:color w:val="auto"/>
          <w:sz w:val="24"/>
          <w:lang w:eastAsia="en-US"/>
        </w:rPr>
        <w:lastRenderedPageBreak/>
        <w:drawing>
          <wp:inline distT="0" distB="0" distL="0" distR="0" wp14:anchorId="7C119C71" wp14:editId="4AAB86FC">
            <wp:extent cx="5731510" cy="3300730"/>
            <wp:effectExtent l="0" t="0" r="2540" b="0"/>
            <wp:docPr id="12" name="Picture 11"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Ähnliches Fot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300730"/>
                    </a:xfrm>
                    <a:prstGeom prst="rect">
                      <a:avLst/>
                    </a:prstGeom>
                    <a:noFill/>
                    <a:ln>
                      <a:noFill/>
                    </a:ln>
                  </pic:spPr>
                </pic:pic>
              </a:graphicData>
            </a:graphic>
          </wp:inline>
        </w:drawing>
      </w:r>
    </w:p>
    <w:p w14:paraId="48BF8649" w14:textId="37E0525E" w:rsidR="00B2615A" w:rsidRPr="00287574" w:rsidRDefault="00B2615A" w:rsidP="00CF7C5D">
      <w:pPr>
        <w:rPr>
          <w:rFonts w:cs="Arial"/>
          <w:color w:val="auto"/>
          <w:szCs w:val="22"/>
        </w:rPr>
      </w:pPr>
    </w:p>
    <w:p w14:paraId="33C4BE1C" w14:textId="60168322" w:rsidR="008A12E9" w:rsidRPr="00955C85" w:rsidRDefault="008A12E9" w:rsidP="00CF7C5D">
      <w:pPr>
        <w:rPr>
          <w:rFonts w:cs="Arial"/>
          <w:color w:val="44546A" w:themeColor="text2"/>
        </w:rPr>
      </w:pPr>
      <w:r w:rsidRPr="00955C85">
        <w:rPr>
          <w:b/>
          <w:bCs/>
          <w:color w:val="44546A" w:themeColor="text2"/>
          <w:szCs w:val="22"/>
        </w:rPr>
        <w:t>Définitions et abréviations (</w:t>
      </w:r>
      <w:r w:rsidRPr="00955C85">
        <w:rPr>
          <w:b/>
          <w:bCs/>
          <w:color w:val="44546A" w:themeColor="text2"/>
        </w:rPr>
        <w:t xml:space="preserve">source : </w:t>
      </w:r>
      <w:proofErr w:type="spellStart"/>
      <w:r w:rsidRPr="00955C85">
        <w:rPr>
          <w:b/>
          <w:bCs/>
          <w:color w:val="44546A" w:themeColor="text2"/>
        </w:rPr>
        <w:t>ElaadNL</w:t>
      </w:r>
      <w:proofErr w:type="spellEnd"/>
      <w:r w:rsidRPr="00955C85">
        <w:rPr>
          <w:b/>
          <w:bCs/>
          <w:color w:val="44546A" w:themeColor="text2"/>
        </w:rPr>
        <w:t xml:space="preserve"> EV </w:t>
      </w:r>
      <w:proofErr w:type="spellStart"/>
      <w:r w:rsidRPr="00955C85">
        <w:rPr>
          <w:b/>
          <w:bCs/>
          <w:color w:val="44546A" w:themeColor="text2"/>
        </w:rPr>
        <w:t>related</w:t>
      </w:r>
      <w:proofErr w:type="spellEnd"/>
      <w:r w:rsidRPr="00955C85">
        <w:rPr>
          <w:b/>
          <w:bCs/>
          <w:color w:val="44546A" w:themeColor="text2"/>
        </w:rPr>
        <w:t xml:space="preserve"> </w:t>
      </w:r>
      <w:proofErr w:type="spellStart"/>
      <w:r w:rsidRPr="00955C85">
        <w:rPr>
          <w:b/>
          <w:bCs/>
          <w:color w:val="44546A" w:themeColor="text2"/>
        </w:rPr>
        <w:t>protocol</w:t>
      </w:r>
      <w:proofErr w:type="spellEnd"/>
      <w:r w:rsidRPr="00955C85">
        <w:rPr>
          <w:b/>
          <w:bCs/>
          <w:color w:val="44546A" w:themeColor="text2"/>
        </w:rPr>
        <w:t xml:space="preserve"> </w:t>
      </w:r>
      <w:proofErr w:type="spellStart"/>
      <w:r w:rsidRPr="00955C85">
        <w:rPr>
          <w:b/>
          <w:bCs/>
          <w:color w:val="44546A" w:themeColor="text2"/>
        </w:rPr>
        <w:t>study</w:t>
      </w:r>
      <w:proofErr w:type="spellEnd"/>
      <w:r w:rsidRPr="00955C85">
        <w:rPr>
          <w:b/>
          <w:bCs/>
          <w:color w:val="44546A" w:themeColor="text2"/>
        </w:rPr>
        <w:t xml:space="preserve"> v1.1, 2016)</w:t>
      </w:r>
    </w:p>
    <w:tbl>
      <w:tblPr>
        <w:tblStyle w:val="Grilledutableau"/>
        <w:tblW w:w="9776" w:type="dxa"/>
        <w:tblLook w:val="04A0" w:firstRow="1" w:lastRow="0" w:firstColumn="1" w:lastColumn="0" w:noHBand="0" w:noVBand="1"/>
      </w:tblPr>
      <w:tblGrid>
        <w:gridCol w:w="3005"/>
        <w:gridCol w:w="6771"/>
      </w:tblGrid>
      <w:tr w:rsidR="007176C9" w:rsidRPr="009D708C" w14:paraId="1A100418" w14:textId="77777777" w:rsidTr="007176C9">
        <w:tc>
          <w:tcPr>
            <w:tcW w:w="3005" w:type="dxa"/>
          </w:tcPr>
          <w:p w14:paraId="54BA813A" w14:textId="77777777" w:rsidR="007176C9" w:rsidRPr="009D708C" w:rsidRDefault="007176C9" w:rsidP="007B6E81">
            <w:pPr>
              <w:spacing w:before="60" w:after="60"/>
              <w:rPr>
                <w:rFonts w:cs="Arial"/>
                <w:color w:val="auto"/>
                <w:lang w:val="de-DE"/>
              </w:rPr>
            </w:pPr>
            <w:r w:rsidRPr="009D708C">
              <w:rPr>
                <w:rFonts w:cs="Arial"/>
                <w:color w:val="auto"/>
                <w:lang w:val="de-DE"/>
              </w:rPr>
              <w:t>EV</w:t>
            </w:r>
          </w:p>
        </w:tc>
        <w:tc>
          <w:tcPr>
            <w:tcW w:w="6771" w:type="dxa"/>
          </w:tcPr>
          <w:p w14:paraId="11FC6088" w14:textId="77777777" w:rsidR="007176C9" w:rsidRPr="009D708C" w:rsidRDefault="007176C9" w:rsidP="007B6E81">
            <w:pPr>
              <w:pStyle w:val="Default"/>
              <w:spacing w:before="60" w:after="60"/>
              <w:jc w:val="both"/>
              <w:rPr>
                <w:color w:val="auto"/>
                <w:lang w:val="de-DE"/>
              </w:rPr>
            </w:pPr>
            <w:r w:rsidRPr="00DD04BE">
              <w:rPr>
                <w:b/>
                <w:bCs/>
                <w:color w:val="auto"/>
                <w:sz w:val="22"/>
                <w:szCs w:val="22"/>
                <w:lang w:val="en-GB"/>
              </w:rPr>
              <w:t>Electric Vehicles</w:t>
            </w:r>
            <w:r w:rsidRPr="00DD04BE">
              <w:rPr>
                <w:color w:val="auto"/>
                <w:sz w:val="22"/>
                <w:szCs w:val="22"/>
                <w:lang w:val="en-GB"/>
              </w:rPr>
              <w:t xml:space="preserve"> that have battery energy storage (sometimes referred to as Battery Electric Vehicle, BEV). </w:t>
            </w:r>
            <w:r w:rsidRPr="009D708C">
              <w:rPr>
                <w:color w:val="auto"/>
                <w:sz w:val="22"/>
                <w:szCs w:val="22"/>
                <w:lang w:val="de-DE"/>
              </w:rPr>
              <w:t xml:space="preserve">This </w:t>
            </w:r>
            <w:proofErr w:type="spellStart"/>
            <w:r w:rsidRPr="009D708C">
              <w:rPr>
                <w:color w:val="auto"/>
                <w:sz w:val="22"/>
                <w:szCs w:val="22"/>
                <w:lang w:val="de-DE"/>
              </w:rPr>
              <w:t>includes</w:t>
            </w:r>
            <w:proofErr w:type="spellEnd"/>
            <w:r w:rsidRPr="009D708C">
              <w:rPr>
                <w:color w:val="auto"/>
                <w:sz w:val="22"/>
                <w:szCs w:val="22"/>
                <w:lang w:val="de-DE"/>
              </w:rPr>
              <w:t xml:space="preserve"> PHEV (Plugin Hybrid EV). </w:t>
            </w:r>
          </w:p>
        </w:tc>
      </w:tr>
      <w:tr w:rsidR="007176C9" w:rsidRPr="009D708C" w14:paraId="5B972D2D" w14:textId="77777777" w:rsidTr="007176C9">
        <w:tc>
          <w:tcPr>
            <w:tcW w:w="3005" w:type="dxa"/>
          </w:tcPr>
          <w:p w14:paraId="7379D984" w14:textId="77777777" w:rsidR="007176C9" w:rsidRPr="009D708C" w:rsidRDefault="007176C9" w:rsidP="007B6E81">
            <w:pPr>
              <w:spacing w:before="60" w:after="60"/>
              <w:rPr>
                <w:rFonts w:cs="Arial"/>
                <w:color w:val="auto"/>
                <w:lang w:val="de-DE"/>
              </w:rPr>
            </w:pPr>
            <w:r w:rsidRPr="009D708C">
              <w:rPr>
                <w:rFonts w:cs="Arial"/>
                <w:color w:val="auto"/>
                <w:lang w:val="de-DE"/>
              </w:rPr>
              <w:t>EVSE</w:t>
            </w:r>
          </w:p>
        </w:tc>
        <w:tc>
          <w:tcPr>
            <w:tcW w:w="6771" w:type="dxa"/>
          </w:tcPr>
          <w:p w14:paraId="249AA420" w14:textId="77777777" w:rsidR="007176C9" w:rsidRPr="009D6EAA" w:rsidRDefault="007176C9" w:rsidP="007B6E81">
            <w:pPr>
              <w:pStyle w:val="Default"/>
              <w:spacing w:before="60" w:after="60"/>
              <w:jc w:val="both"/>
              <w:rPr>
                <w:color w:val="auto"/>
                <w:lang w:val="en-US"/>
              </w:rPr>
            </w:pPr>
            <w:r w:rsidRPr="00DD04BE">
              <w:rPr>
                <w:b/>
                <w:bCs/>
                <w:color w:val="auto"/>
                <w:sz w:val="22"/>
                <w:szCs w:val="22"/>
                <w:lang w:val="en-GB"/>
              </w:rPr>
              <w:t>Electrical Vehicle Supply Equipment</w:t>
            </w:r>
            <w:r w:rsidRPr="00DD04BE">
              <w:rPr>
                <w:color w:val="auto"/>
                <w:sz w:val="22"/>
                <w:szCs w:val="22"/>
                <w:lang w:val="en-GB"/>
              </w:rPr>
              <w:t xml:space="preserve">. The logical unit in a charge point that supplies electric energy via a connector for charging. </w:t>
            </w:r>
            <w:r w:rsidRPr="009D6EAA">
              <w:rPr>
                <w:color w:val="auto"/>
                <w:sz w:val="22"/>
                <w:szCs w:val="22"/>
                <w:lang w:val="en-US"/>
              </w:rPr>
              <w:t xml:space="preserve">An EVSE can have one or multiple </w:t>
            </w:r>
            <w:r>
              <w:rPr>
                <w:color w:val="auto"/>
                <w:sz w:val="22"/>
                <w:szCs w:val="22"/>
                <w:lang w:val="en-US"/>
              </w:rPr>
              <w:t>c</w:t>
            </w:r>
            <w:r w:rsidRPr="009D6EAA">
              <w:rPr>
                <w:color w:val="auto"/>
                <w:sz w:val="22"/>
                <w:szCs w:val="22"/>
                <w:lang w:val="en-US"/>
              </w:rPr>
              <w:t xml:space="preserve">onnector(s). </w:t>
            </w:r>
          </w:p>
        </w:tc>
      </w:tr>
      <w:tr w:rsidR="007176C9" w:rsidRPr="000150BE" w14:paraId="1937F1AC" w14:textId="77777777" w:rsidTr="007176C9">
        <w:tc>
          <w:tcPr>
            <w:tcW w:w="3005" w:type="dxa"/>
          </w:tcPr>
          <w:p w14:paraId="51ACF11C" w14:textId="77777777" w:rsidR="007176C9" w:rsidRPr="009D708C" w:rsidRDefault="007176C9" w:rsidP="007B6E81">
            <w:pPr>
              <w:spacing w:before="60" w:after="60"/>
              <w:rPr>
                <w:rFonts w:cs="Arial"/>
                <w:color w:val="auto"/>
                <w:lang w:val="de-DE"/>
              </w:rPr>
            </w:pPr>
            <w:r w:rsidRPr="009D708C">
              <w:rPr>
                <w:rFonts w:cs="Arial"/>
                <w:color w:val="auto"/>
                <w:lang w:val="de-DE"/>
              </w:rPr>
              <w:t>CPO</w:t>
            </w:r>
          </w:p>
        </w:tc>
        <w:tc>
          <w:tcPr>
            <w:tcW w:w="6771" w:type="dxa"/>
          </w:tcPr>
          <w:p w14:paraId="72AAB03C" w14:textId="77777777" w:rsidR="007176C9" w:rsidRPr="00DD04BE" w:rsidRDefault="007176C9" w:rsidP="007B6E81">
            <w:pPr>
              <w:pStyle w:val="Default"/>
              <w:spacing w:before="60" w:after="60"/>
              <w:jc w:val="both"/>
              <w:rPr>
                <w:color w:val="auto"/>
                <w:lang w:val="en-GB"/>
              </w:rPr>
            </w:pPr>
            <w:r w:rsidRPr="00DD04BE">
              <w:rPr>
                <w:b/>
                <w:bCs/>
                <w:color w:val="auto"/>
                <w:sz w:val="22"/>
                <w:szCs w:val="22"/>
                <w:lang w:val="en-GB"/>
              </w:rPr>
              <w:t>Charge Point Operator</w:t>
            </w:r>
            <w:r w:rsidRPr="00DD04BE">
              <w:rPr>
                <w:color w:val="auto"/>
                <w:sz w:val="22"/>
                <w:szCs w:val="22"/>
                <w:lang w:val="en-GB"/>
              </w:rPr>
              <w:t xml:space="preserve">. Party that operates and maintains charge points. </w:t>
            </w:r>
          </w:p>
        </w:tc>
      </w:tr>
      <w:tr w:rsidR="007176C9" w:rsidRPr="000150BE" w14:paraId="3C88D5C7" w14:textId="77777777" w:rsidTr="007176C9">
        <w:tc>
          <w:tcPr>
            <w:tcW w:w="3005" w:type="dxa"/>
          </w:tcPr>
          <w:p w14:paraId="123F2157" w14:textId="77777777" w:rsidR="007176C9" w:rsidRPr="009D708C" w:rsidRDefault="007176C9" w:rsidP="007B6E81">
            <w:pPr>
              <w:spacing w:before="60" w:after="60"/>
              <w:rPr>
                <w:rFonts w:cs="Arial"/>
                <w:color w:val="auto"/>
                <w:lang w:val="de-DE"/>
              </w:rPr>
            </w:pPr>
            <w:r w:rsidRPr="009D708C">
              <w:rPr>
                <w:rFonts w:cs="Arial"/>
                <w:color w:val="auto"/>
                <w:lang w:val="de-DE"/>
              </w:rPr>
              <w:t>Clearing House</w:t>
            </w:r>
          </w:p>
        </w:tc>
        <w:tc>
          <w:tcPr>
            <w:tcW w:w="6771" w:type="dxa"/>
          </w:tcPr>
          <w:p w14:paraId="1AEEAF85" w14:textId="77777777" w:rsidR="007176C9" w:rsidRPr="00DD04BE" w:rsidRDefault="007176C9" w:rsidP="007B6E81">
            <w:pPr>
              <w:pStyle w:val="Default"/>
              <w:spacing w:before="60" w:after="60"/>
              <w:jc w:val="both"/>
              <w:rPr>
                <w:color w:val="auto"/>
                <w:lang w:val="en-GB"/>
              </w:rPr>
            </w:pPr>
            <w:r w:rsidRPr="00DD04BE">
              <w:rPr>
                <w:color w:val="auto"/>
                <w:sz w:val="22"/>
                <w:szCs w:val="22"/>
                <w:lang w:val="en-GB"/>
              </w:rPr>
              <w:t xml:space="preserve">A </w:t>
            </w:r>
            <w:r w:rsidRPr="00DD04BE">
              <w:rPr>
                <w:b/>
                <w:bCs/>
                <w:color w:val="auto"/>
                <w:sz w:val="22"/>
                <w:szCs w:val="22"/>
                <w:lang w:val="en-GB"/>
              </w:rPr>
              <w:t>Clearing House</w:t>
            </w:r>
            <w:r w:rsidRPr="00DD04BE">
              <w:rPr>
                <w:color w:val="auto"/>
                <w:sz w:val="22"/>
                <w:szCs w:val="22"/>
                <w:lang w:val="en-GB"/>
              </w:rPr>
              <w:t xml:space="preserve"> is an institution or system that facilitates (automatic) clearing. </w:t>
            </w:r>
          </w:p>
          <w:p w14:paraId="51D03B89" w14:textId="77777777" w:rsidR="007176C9" w:rsidRPr="00DD04BE" w:rsidRDefault="007176C9" w:rsidP="007B6E81">
            <w:pPr>
              <w:pStyle w:val="Default"/>
              <w:spacing w:before="60" w:after="60"/>
              <w:jc w:val="both"/>
              <w:rPr>
                <w:color w:val="auto"/>
                <w:lang w:val="en-GB"/>
              </w:rPr>
            </w:pPr>
            <w:r w:rsidRPr="00DD04BE">
              <w:rPr>
                <w:color w:val="auto"/>
                <w:sz w:val="22"/>
                <w:szCs w:val="22"/>
                <w:lang w:val="en-GB"/>
              </w:rPr>
              <w:t xml:space="preserve">Clearing is a term from the finance industry. In the EV market it refers to the process of exchanging information such as transaction information (“CDRs”) for billing (“settling”) and roaming purposes. </w:t>
            </w:r>
          </w:p>
        </w:tc>
      </w:tr>
      <w:tr w:rsidR="007176C9" w:rsidRPr="000150BE" w14:paraId="0BF8CCA4" w14:textId="77777777" w:rsidTr="007176C9">
        <w:tc>
          <w:tcPr>
            <w:tcW w:w="3005" w:type="dxa"/>
          </w:tcPr>
          <w:p w14:paraId="687E196B" w14:textId="77777777" w:rsidR="007176C9" w:rsidRPr="009D708C" w:rsidRDefault="007176C9" w:rsidP="007B6E81">
            <w:pPr>
              <w:spacing w:before="60" w:after="60"/>
              <w:rPr>
                <w:rFonts w:cs="Arial"/>
                <w:color w:val="auto"/>
                <w:lang w:val="de-DE"/>
              </w:rPr>
            </w:pPr>
            <w:proofErr w:type="spellStart"/>
            <w:r w:rsidRPr="009D708C">
              <w:rPr>
                <w:rFonts w:cs="Arial"/>
                <w:color w:val="auto"/>
                <w:lang w:val="de-DE"/>
              </w:rPr>
              <w:t>eMSP</w:t>
            </w:r>
            <w:proofErr w:type="spellEnd"/>
          </w:p>
        </w:tc>
        <w:tc>
          <w:tcPr>
            <w:tcW w:w="6771" w:type="dxa"/>
          </w:tcPr>
          <w:p w14:paraId="48A20DD0" w14:textId="77777777" w:rsidR="007176C9" w:rsidRPr="00DD04BE" w:rsidRDefault="007176C9" w:rsidP="007B6E81">
            <w:pPr>
              <w:pStyle w:val="Default"/>
              <w:spacing w:before="60" w:after="60"/>
              <w:jc w:val="both"/>
              <w:rPr>
                <w:color w:val="auto"/>
                <w:lang w:val="en-GB"/>
              </w:rPr>
            </w:pPr>
            <w:r w:rsidRPr="00DD04BE">
              <w:rPr>
                <w:b/>
                <w:bCs/>
                <w:color w:val="auto"/>
                <w:sz w:val="22"/>
                <w:szCs w:val="22"/>
                <w:lang w:val="en-GB"/>
              </w:rPr>
              <w:t>E-Mobility Service Provider</w:t>
            </w:r>
            <w:r w:rsidRPr="00DD04BE">
              <w:rPr>
                <w:color w:val="auto"/>
                <w:sz w:val="22"/>
                <w:szCs w:val="22"/>
                <w:lang w:val="en-GB"/>
              </w:rPr>
              <w:t xml:space="preserve">. Party that handles all communication and billing towards EV users. These roles of EMSP and CPO are not separated in all markets, in some countries these roles are filled in by the same party. However, this distinction is still relevant for enabling customers of one party to use a charge point of another party. </w:t>
            </w:r>
          </w:p>
        </w:tc>
      </w:tr>
      <w:tr w:rsidR="007176C9" w:rsidRPr="000150BE" w14:paraId="1C51F224" w14:textId="77777777" w:rsidTr="007176C9">
        <w:tc>
          <w:tcPr>
            <w:tcW w:w="3005" w:type="dxa"/>
          </w:tcPr>
          <w:p w14:paraId="62CF6E84" w14:textId="77777777" w:rsidR="007176C9" w:rsidRPr="009D708C" w:rsidRDefault="007176C9" w:rsidP="007B6E81">
            <w:pPr>
              <w:spacing w:before="60" w:after="60"/>
              <w:rPr>
                <w:rFonts w:cs="Arial"/>
                <w:color w:val="auto"/>
                <w:lang w:val="de-DE"/>
              </w:rPr>
            </w:pPr>
            <w:r w:rsidRPr="009D708C">
              <w:rPr>
                <w:rFonts w:cs="Arial"/>
                <w:color w:val="auto"/>
                <w:lang w:val="de-DE"/>
              </w:rPr>
              <w:lastRenderedPageBreak/>
              <w:t>DSO</w:t>
            </w:r>
          </w:p>
        </w:tc>
        <w:tc>
          <w:tcPr>
            <w:tcW w:w="6771" w:type="dxa"/>
          </w:tcPr>
          <w:p w14:paraId="4ACFADF8" w14:textId="77777777" w:rsidR="007176C9" w:rsidRPr="00DD04BE" w:rsidRDefault="007176C9" w:rsidP="007B6E81">
            <w:pPr>
              <w:pStyle w:val="Default"/>
              <w:spacing w:before="60" w:after="60"/>
              <w:jc w:val="both"/>
              <w:rPr>
                <w:color w:val="auto"/>
                <w:lang w:val="en-GB"/>
              </w:rPr>
            </w:pPr>
            <w:r w:rsidRPr="00DD04BE">
              <w:rPr>
                <w:b/>
                <w:bCs/>
                <w:color w:val="auto"/>
                <w:sz w:val="22"/>
                <w:szCs w:val="22"/>
                <w:lang w:val="en-GB"/>
              </w:rPr>
              <w:t>Distribution System Operator</w:t>
            </w:r>
            <w:r w:rsidRPr="00DD04BE">
              <w:rPr>
                <w:color w:val="auto"/>
                <w:sz w:val="22"/>
                <w:szCs w:val="22"/>
                <w:lang w:val="en-GB"/>
              </w:rPr>
              <w:t>. An electricity net operator or grid operator.</w:t>
            </w:r>
          </w:p>
        </w:tc>
      </w:tr>
      <w:tr w:rsidR="007176C9" w:rsidRPr="009D708C" w14:paraId="4ABAEDA7" w14:textId="77777777" w:rsidTr="007176C9">
        <w:tc>
          <w:tcPr>
            <w:tcW w:w="3005" w:type="dxa"/>
          </w:tcPr>
          <w:p w14:paraId="0EC309E6" w14:textId="77777777" w:rsidR="007176C9" w:rsidRPr="009D708C" w:rsidRDefault="007176C9" w:rsidP="007B6E81">
            <w:pPr>
              <w:spacing w:before="60" w:after="60"/>
              <w:rPr>
                <w:rFonts w:cs="Arial"/>
                <w:color w:val="auto"/>
                <w:lang w:val="de-DE"/>
              </w:rPr>
            </w:pPr>
            <w:proofErr w:type="spellStart"/>
            <w:r w:rsidRPr="009D708C">
              <w:rPr>
                <w:rFonts w:cs="Arial"/>
                <w:color w:val="auto"/>
                <w:lang w:val="de-DE"/>
              </w:rPr>
              <w:t>eMIP</w:t>
            </w:r>
            <w:proofErr w:type="spellEnd"/>
            <w:r w:rsidRPr="009D708C">
              <w:rPr>
                <w:rFonts w:cs="Arial"/>
                <w:color w:val="auto"/>
                <w:lang w:val="de-DE"/>
              </w:rPr>
              <w:t xml:space="preserve"> </w:t>
            </w:r>
          </w:p>
        </w:tc>
        <w:tc>
          <w:tcPr>
            <w:tcW w:w="6771" w:type="dxa"/>
          </w:tcPr>
          <w:p w14:paraId="6B5F8695" w14:textId="77777777" w:rsidR="007176C9" w:rsidRPr="009D708C" w:rsidRDefault="007176C9" w:rsidP="007B6E81">
            <w:pPr>
              <w:pStyle w:val="Default"/>
              <w:spacing w:before="60" w:after="60"/>
              <w:jc w:val="both"/>
              <w:rPr>
                <w:b/>
                <w:bCs/>
                <w:color w:val="auto"/>
                <w:sz w:val="22"/>
                <w:szCs w:val="22"/>
                <w:lang w:val="de-DE"/>
              </w:rPr>
            </w:pPr>
            <w:r w:rsidRPr="009D708C">
              <w:rPr>
                <w:color w:val="auto"/>
                <w:sz w:val="22"/>
                <w:szCs w:val="22"/>
                <w:lang w:val="de-DE"/>
              </w:rPr>
              <w:t xml:space="preserve">eMobility Inter-Operation Protocol </w:t>
            </w:r>
          </w:p>
        </w:tc>
      </w:tr>
      <w:tr w:rsidR="007176C9" w:rsidRPr="000150BE" w14:paraId="2DB5A131" w14:textId="77777777" w:rsidTr="007176C9">
        <w:tc>
          <w:tcPr>
            <w:tcW w:w="3005" w:type="dxa"/>
          </w:tcPr>
          <w:p w14:paraId="003BEC53" w14:textId="77777777" w:rsidR="007176C9" w:rsidRPr="009D708C" w:rsidRDefault="007176C9" w:rsidP="007B6E81">
            <w:pPr>
              <w:spacing w:before="60" w:after="60"/>
              <w:rPr>
                <w:rFonts w:cs="Arial"/>
                <w:color w:val="auto"/>
                <w:lang w:val="de-DE"/>
              </w:rPr>
            </w:pPr>
            <w:r w:rsidRPr="009D708C">
              <w:rPr>
                <w:rFonts w:cs="Arial"/>
                <w:color w:val="auto"/>
                <w:lang w:val="de-DE"/>
              </w:rPr>
              <w:t xml:space="preserve">IEEE 2030.5 </w:t>
            </w:r>
          </w:p>
        </w:tc>
        <w:tc>
          <w:tcPr>
            <w:tcW w:w="6771" w:type="dxa"/>
          </w:tcPr>
          <w:p w14:paraId="15E5D8AA" w14:textId="77777777" w:rsidR="007176C9" w:rsidRPr="00DD04BE" w:rsidRDefault="007176C9" w:rsidP="007B6E81">
            <w:pPr>
              <w:pStyle w:val="Default"/>
              <w:spacing w:before="60" w:after="60"/>
              <w:jc w:val="both"/>
              <w:rPr>
                <w:b/>
                <w:bCs/>
                <w:color w:val="auto"/>
                <w:sz w:val="22"/>
                <w:szCs w:val="22"/>
                <w:lang w:val="en-GB"/>
              </w:rPr>
            </w:pPr>
            <w:r w:rsidRPr="00DD04BE">
              <w:rPr>
                <w:color w:val="auto"/>
                <w:sz w:val="22"/>
                <w:szCs w:val="22"/>
                <w:lang w:val="en-GB"/>
              </w:rPr>
              <w:t xml:space="preserve">The IEEE adoption of Smart Energy Application Profile 2.0 (SEP 2) </w:t>
            </w:r>
          </w:p>
        </w:tc>
      </w:tr>
      <w:tr w:rsidR="007176C9" w:rsidRPr="009D708C" w14:paraId="0B69F354" w14:textId="77777777" w:rsidTr="007176C9">
        <w:tc>
          <w:tcPr>
            <w:tcW w:w="3005" w:type="dxa"/>
          </w:tcPr>
          <w:p w14:paraId="2BF595D2" w14:textId="77777777" w:rsidR="007176C9" w:rsidRPr="009D708C" w:rsidRDefault="007176C9" w:rsidP="007B6E81">
            <w:pPr>
              <w:spacing w:before="60" w:after="60"/>
              <w:rPr>
                <w:rFonts w:cs="Arial"/>
                <w:color w:val="auto"/>
                <w:lang w:val="de-DE"/>
              </w:rPr>
            </w:pPr>
            <w:r w:rsidRPr="009D708C">
              <w:rPr>
                <w:rFonts w:cs="Arial"/>
                <w:color w:val="auto"/>
                <w:lang w:val="de-DE"/>
              </w:rPr>
              <w:t xml:space="preserve">OCHP </w:t>
            </w:r>
          </w:p>
        </w:tc>
        <w:tc>
          <w:tcPr>
            <w:tcW w:w="6771" w:type="dxa"/>
          </w:tcPr>
          <w:p w14:paraId="07816E1D" w14:textId="77777777" w:rsidR="007176C9" w:rsidRPr="009D708C" w:rsidRDefault="007176C9" w:rsidP="007B6E81">
            <w:pPr>
              <w:pStyle w:val="Default"/>
              <w:spacing w:before="60" w:after="60"/>
              <w:jc w:val="both"/>
              <w:rPr>
                <w:b/>
                <w:bCs/>
                <w:color w:val="auto"/>
                <w:sz w:val="22"/>
                <w:szCs w:val="22"/>
                <w:lang w:val="de-DE"/>
              </w:rPr>
            </w:pPr>
            <w:r w:rsidRPr="009D708C">
              <w:rPr>
                <w:color w:val="auto"/>
                <w:sz w:val="22"/>
                <w:szCs w:val="22"/>
                <w:lang w:val="de-DE"/>
              </w:rPr>
              <w:t xml:space="preserve">Open Clearing House Protocol </w:t>
            </w:r>
          </w:p>
        </w:tc>
      </w:tr>
      <w:tr w:rsidR="007176C9" w:rsidRPr="009D708C" w14:paraId="26DD35FE" w14:textId="77777777" w:rsidTr="007176C9">
        <w:tc>
          <w:tcPr>
            <w:tcW w:w="3005" w:type="dxa"/>
          </w:tcPr>
          <w:p w14:paraId="7AA8981B" w14:textId="77777777" w:rsidR="007176C9" w:rsidRPr="009D708C" w:rsidRDefault="007176C9" w:rsidP="007B6E81">
            <w:pPr>
              <w:spacing w:before="60" w:after="60"/>
              <w:rPr>
                <w:rFonts w:cs="Arial"/>
                <w:color w:val="auto"/>
                <w:lang w:val="de-DE"/>
              </w:rPr>
            </w:pPr>
            <w:r w:rsidRPr="009D708C">
              <w:rPr>
                <w:rFonts w:cs="Arial"/>
                <w:color w:val="auto"/>
                <w:lang w:val="de-DE"/>
              </w:rPr>
              <w:t xml:space="preserve">OCPI </w:t>
            </w:r>
          </w:p>
        </w:tc>
        <w:tc>
          <w:tcPr>
            <w:tcW w:w="6771" w:type="dxa"/>
          </w:tcPr>
          <w:p w14:paraId="30E045A9" w14:textId="77777777" w:rsidR="007176C9" w:rsidRPr="009D708C" w:rsidRDefault="007176C9" w:rsidP="007B6E81">
            <w:pPr>
              <w:pStyle w:val="Default"/>
              <w:spacing w:before="60" w:after="60"/>
              <w:jc w:val="both"/>
              <w:rPr>
                <w:b/>
                <w:bCs/>
                <w:color w:val="auto"/>
                <w:sz w:val="22"/>
                <w:szCs w:val="22"/>
                <w:lang w:val="de-DE"/>
              </w:rPr>
            </w:pPr>
            <w:r w:rsidRPr="009D708C">
              <w:rPr>
                <w:color w:val="auto"/>
                <w:sz w:val="22"/>
                <w:szCs w:val="22"/>
                <w:lang w:val="de-DE"/>
              </w:rPr>
              <w:t xml:space="preserve">Open Charge Point Interface </w:t>
            </w:r>
          </w:p>
        </w:tc>
      </w:tr>
      <w:tr w:rsidR="007176C9" w:rsidRPr="009D708C" w14:paraId="21C7DC78" w14:textId="77777777" w:rsidTr="007176C9">
        <w:tc>
          <w:tcPr>
            <w:tcW w:w="3005" w:type="dxa"/>
          </w:tcPr>
          <w:p w14:paraId="0F6D23B3" w14:textId="77777777" w:rsidR="007176C9" w:rsidRPr="009D708C" w:rsidRDefault="007176C9" w:rsidP="007B6E81">
            <w:pPr>
              <w:spacing w:before="60" w:after="60"/>
              <w:rPr>
                <w:rFonts w:cs="Arial"/>
                <w:color w:val="auto"/>
                <w:lang w:val="de-DE"/>
              </w:rPr>
            </w:pPr>
            <w:r w:rsidRPr="009D708C">
              <w:rPr>
                <w:rFonts w:cs="Arial"/>
                <w:color w:val="auto"/>
                <w:lang w:val="de-DE"/>
              </w:rPr>
              <w:t xml:space="preserve">OCPP </w:t>
            </w:r>
          </w:p>
        </w:tc>
        <w:tc>
          <w:tcPr>
            <w:tcW w:w="6771" w:type="dxa"/>
          </w:tcPr>
          <w:p w14:paraId="68FF3602" w14:textId="77777777" w:rsidR="007176C9" w:rsidRPr="009D708C" w:rsidRDefault="007176C9" w:rsidP="007B6E81">
            <w:pPr>
              <w:pStyle w:val="Default"/>
              <w:spacing w:before="60" w:after="60"/>
              <w:jc w:val="both"/>
              <w:rPr>
                <w:b/>
                <w:bCs/>
                <w:color w:val="auto"/>
                <w:sz w:val="22"/>
                <w:szCs w:val="22"/>
                <w:lang w:val="de-DE"/>
              </w:rPr>
            </w:pPr>
            <w:r w:rsidRPr="009D708C">
              <w:rPr>
                <w:color w:val="auto"/>
                <w:sz w:val="22"/>
                <w:szCs w:val="22"/>
                <w:lang w:val="de-DE"/>
              </w:rPr>
              <w:t xml:space="preserve">Open Charge Point Protocol </w:t>
            </w:r>
          </w:p>
        </w:tc>
      </w:tr>
      <w:tr w:rsidR="007176C9" w:rsidRPr="009D708C" w14:paraId="7C404B1C" w14:textId="77777777" w:rsidTr="007176C9">
        <w:tc>
          <w:tcPr>
            <w:tcW w:w="3005" w:type="dxa"/>
          </w:tcPr>
          <w:p w14:paraId="0B61B719" w14:textId="77777777" w:rsidR="007176C9" w:rsidRPr="009D708C" w:rsidRDefault="007176C9" w:rsidP="007B6E81">
            <w:pPr>
              <w:spacing w:before="60" w:after="60"/>
              <w:rPr>
                <w:rFonts w:cs="Arial"/>
                <w:color w:val="auto"/>
                <w:lang w:val="de-DE"/>
              </w:rPr>
            </w:pPr>
            <w:r w:rsidRPr="009D708C">
              <w:rPr>
                <w:rFonts w:cs="Arial"/>
                <w:color w:val="auto"/>
                <w:lang w:val="de-DE"/>
              </w:rPr>
              <w:t xml:space="preserve">OICP </w:t>
            </w:r>
          </w:p>
        </w:tc>
        <w:tc>
          <w:tcPr>
            <w:tcW w:w="6771" w:type="dxa"/>
          </w:tcPr>
          <w:p w14:paraId="3EB9E2D8" w14:textId="77777777" w:rsidR="007176C9" w:rsidRPr="009D708C" w:rsidRDefault="007176C9" w:rsidP="007B6E81">
            <w:pPr>
              <w:pStyle w:val="Default"/>
              <w:spacing w:before="60" w:after="60"/>
              <w:jc w:val="both"/>
              <w:rPr>
                <w:b/>
                <w:bCs/>
                <w:color w:val="auto"/>
                <w:sz w:val="22"/>
                <w:szCs w:val="22"/>
                <w:lang w:val="de-DE"/>
              </w:rPr>
            </w:pPr>
            <w:r w:rsidRPr="009D708C">
              <w:rPr>
                <w:color w:val="auto"/>
                <w:sz w:val="22"/>
                <w:szCs w:val="22"/>
                <w:lang w:val="de-DE"/>
              </w:rPr>
              <w:t xml:space="preserve">Open </w:t>
            </w:r>
            <w:proofErr w:type="spellStart"/>
            <w:r w:rsidRPr="009D708C">
              <w:rPr>
                <w:color w:val="auto"/>
                <w:sz w:val="22"/>
                <w:szCs w:val="22"/>
                <w:lang w:val="de-DE"/>
              </w:rPr>
              <w:t>InterCharge</w:t>
            </w:r>
            <w:proofErr w:type="spellEnd"/>
            <w:r w:rsidRPr="009D708C">
              <w:rPr>
                <w:color w:val="auto"/>
                <w:sz w:val="22"/>
                <w:szCs w:val="22"/>
                <w:lang w:val="de-DE"/>
              </w:rPr>
              <w:t xml:space="preserve"> Protocol </w:t>
            </w:r>
          </w:p>
        </w:tc>
      </w:tr>
      <w:tr w:rsidR="007176C9" w:rsidRPr="009D708C" w14:paraId="52413B6B" w14:textId="77777777" w:rsidTr="007176C9">
        <w:tc>
          <w:tcPr>
            <w:tcW w:w="3005" w:type="dxa"/>
          </w:tcPr>
          <w:p w14:paraId="498E7EC9" w14:textId="77777777" w:rsidR="007176C9" w:rsidRPr="009D708C" w:rsidRDefault="007176C9" w:rsidP="007B6E81">
            <w:pPr>
              <w:spacing w:before="60" w:after="60"/>
              <w:rPr>
                <w:rFonts w:cs="Arial"/>
                <w:color w:val="auto"/>
                <w:lang w:val="de-DE"/>
              </w:rPr>
            </w:pPr>
            <w:proofErr w:type="spellStart"/>
            <w:r w:rsidRPr="009D708C">
              <w:rPr>
                <w:rFonts w:cs="Arial"/>
                <w:color w:val="auto"/>
                <w:lang w:val="de-DE"/>
              </w:rPr>
              <w:t>OpenADR</w:t>
            </w:r>
            <w:proofErr w:type="spellEnd"/>
            <w:r w:rsidRPr="009D708C">
              <w:rPr>
                <w:rFonts w:cs="Arial"/>
                <w:color w:val="auto"/>
                <w:lang w:val="de-DE"/>
              </w:rPr>
              <w:t xml:space="preserve"> </w:t>
            </w:r>
          </w:p>
        </w:tc>
        <w:tc>
          <w:tcPr>
            <w:tcW w:w="6771" w:type="dxa"/>
          </w:tcPr>
          <w:p w14:paraId="7AA2CA8B" w14:textId="77777777" w:rsidR="007176C9" w:rsidRPr="009D708C" w:rsidRDefault="007176C9" w:rsidP="007B6E81">
            <w:pPr>
              <w:pStyle w:val="Default"/>
              <w:spacing w:before="60" w:after="60"/>
              <w:jc w:val="both"/>
              <w:rPr>
                <w:b/>
                <w:bCs/>
                <w:color w:val="auto"/>
                <w:sz w:val="22"/>
                <w:szCs w:val="22"/>
                <w:lang w:val="de-DE"/>
              </w:rPr>
            </w:pPr>
            <w:r w:rsidRPr="009D708C">
              <w:rPr>
                <w:color w:val="auto"/>
                <w:sz w:val="22"/>
                <w:szCs w:val="22"/>
                <w:lang w:val="de-DE"/>
              </w:rPr>
              <w:t xml:space="preserve">Open </w:t>
            </w:r>
            <w:proofErr w:type="spellStart"/>
            <w:r w:rsidRPr="009D708C">
              <w:rPr>
                <w:color w:val="auto"/>
                <w:sz w:val="22"/>
                <w:szCs w:val="22"/>
                <w:lang w:val="de-DE"/>
              </w:rPr>
              <w:t>Automated</w:t>
            </w:r>
            <w:proofErr w:type="spellEnd"/>
            <w:r w:rsidRPr="009D708C">
              <w:rPr>
                <w:color w:val="auto"/>
                <w:sz w:val="22"/>
                <w:szCs w:val="22"/>
                <w:lang w:val="de-DE"/>
              </w:rPr>
              <w:t xml:space="preserve"> Demand Response </w:t>
            </w:r>
          </w:p>
        </w:tc>
      </w:tr>
      <w:tr w:rsidR="007176C9" w:rsidRPr="009D708C" w14:paraId="0A0CB5A8" w14:textId="77777777" w:rsidTr="007176C9">
        <w:tc>
          <w:tcPr>
            <w:tcW w:w="3005" w:type="dxa"/>
          </w:tcPr>
          <w:p w14:paraId="2B915AB4" w14:textId="77777777" w:rsidR="007176C9" w:rsidRPr="009D708C" w:rsidRDefault="007176C9" w:rsidP="007B6E81">
            <w:pPr>
              <w:spacing w:before="60" w:after="60"/>
              <w:rPr>
                <w:rFonts w:cs="Arial"/>
                <w:color w:val="auto"/>
                <w:lang w:val="de-DE"/>
              </w:rPr>
            </w:pPr>
            <w:r w:rsidRPr="009D708C">
              <w:rPr>
                <w:rFonts w:cs="Arial"/>
                <w:color w:val="auto"/>
                <w:lang w:val="de-DE"/>
              </w:rPr>
              <w:t xml:space="preserve">OSCP </w:t>
            </w:r>
          </w:p>
        </w:tc>
        <w:tc>
          <w:tcPr>
            <w:tcW w:w="6771" w:type="dxa"/>
          </w:tcPr>
          <w:p w14:paraId="02517546" w14:textId="77777777" w:rsidR="007176C9" w:rsidRPr="009D708C" w:rsidRDefault="007176C9" w:rsidP="007B6E81">
            <w:pPr>
              <w:pStyle w:val="Default"/>
              <w:spacing w:before="60" w:after="60"/>
              <w:jc w:val="both"/>
              <w:rPr>
                <w:b/>
                <w:bCs/>
                <w:color w:val="auto"/>
                <w:sz w:val="22"/>
                <w:szCs w:val="22"/>
                <w:lang w:val="de-DE"/>
              </w:rPr>
            </w:pPr>
            <w:r w:rsidRPr="009D708C">
              <w:rPr>
                <w:color w:val="auto"/>
                <w:sz w:val="22"/>
                <w:szCs w:val="22"/>
                <w:lang w:val="de-DE"/>
              </w:rPr>
              <w:t xml:space="preserve">Open Smart </w:t>
            </w:r>
            <w:proofErr w:type="spellStart"/>
            <w:r w:rsidRPr="009D708C">
              <w:rPr>
                <w:color w:val="auto"/>
                <w:sz w:val="22"/>
                <w:szCs w:val="22"/>
                <w:lang w:val="de-DE"/>
              </w:rPr>
              <w:t>Charging</w:t>
            </w:r>
            <w:proofErr w:type="spellEnd"/>
            <w:r w:rsidRPr="009D708C">
              <w:rPr>
                <w:color w:val="auto"/>
                <w:sz w:val="22"/>
                <w:szCs w:val="22"/>
                <w:lang w:val="de-DE"/>
              </w:rPr>
              <w:t xml:space="preserve"> Protocol </w:t>
            </w:r>
          </w:p>
        </w:tc>
      </w:tr>
    </w:tbl>
    <w:p w14:paraId="5312ABAD" w14:textId="77777777" w:rsidR="00B4032C" w:rsidRPr="00287574" w:rsidRDefault="00B4032C" w:rsidP="00CF7C5D">
      <w:pPr>
        <w:rPr>
          <w:rFonts w:cs="Arial"/>
          <w:color w:val="auto"/>
        </w:rPr>
      </w:pPr>
    </w:p>
    <w:sectPr w:rsidR="00B4032C" w:rsidRPr="00287574" w:rsidSect="004F144F">
      <w:headerReference w:type="even" r:id="rId32"/>
      <w:headerReference w:type="default" r:id="rId33"/>
      <w:footerReference w:type="default" r:id="rId34"/>
      <w:headerReference w:type="first" r:id="rId35"/>
      <w:footerReference w:type="first" r:id="rId36"/>
      <w:pgSz w:w="11900" w:h="16840"/>
      <w:pgMar w:top="2552" w:right="1098" w:bottom="1417" w:left="1021" w:header="2552" w:footer="68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6662D" w14:textId="77777777" w:rsidR="00CF7803" w:rsidRDefault="00CF7803" w:rsidP="00FA1A7C">
      <w:pPr>
        <w:spacing w:before="0" w:after="0"/>
      </w:pPr>
      <w:r>
        <w:separator/>
      </w:r>
    </w:p>
  </w:endnote>
  <w:endnote w:type="continuationSeparator" w:id="0">
    <w:p w14:paraId="018CE001" w14:textId="77777777" w:rsidR="00CF7803" w:rsidRDefault="00CF7803" w:rsidP="00FA1A7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E6F5" w14:textId="77777777" w:rsidR="00EF7C74" w:rsidRDefault="00EF7C74">
    <w:pPr>
      <w:pStyle w:val="Pieddepage"/>
    </w:pPr>
    <w:r>
      <w:rPr>
        <w:noProof/>
        <w:lang w:val="en-US" w:eastAsia="en-US"/>
      </w:rPr>
      <w:drawing>
        <wp:anchor distT="0" distB="0" distL="114300" distR="114300" simplePos="0" relativeHeight="251655680" behindDoc="0" locked="0" layoutInCell="1" allowOverlap="1" wp14:anchorId="14FFFE40" wp14:editId="3BC9A332">
          <wp:simplePos x="0" y="0"/>
          <wp:positionH relativeFrom="column">
            <wp:posOffset>-622935</wp:posOffset>
          </wp:positionH>
          <wp:positionV relativeFrom="paragraph">
            <wp:posOffset>-419100</wp:posOffset>
          </wp:positionV>
          <wp:extent cx="7564755" cy="1026160"/>
          <wp:effectExtent l="25400" t="0" r="4445" b="0"/>
          <wp:wrapTight wrapText="bothSides">
            <wp:wrapPolygon edited="0">
              <wp:start x="-73" y="0"/>
              <wp:lineTo x="-73" y="21386"/>
              <wp:lineTo x="21613" y="21386"/>
              <wp:lineTo x="21613" y="0"/>
              <wp:lineTo x="-73" y="0"/>
            </wp:wrapPolygon>
          </wp:wrapTight>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564755" cy="102616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DB4A9" w14:textId="77777777" w:rsidR="00EF7C74" w:rsidRPr="00CF7C5D" w:rsidRDefault="00EF7C74" w:rsidP="00D208D4">
    <w:pPr>
      <w:pStyle w:val="Pieddepage"/>
    </w:pPr>
    <w:proofErr w:type="spellStart"/>
    <w:r>
      <w:t>Intellectum</w:t>
    </w:r>
    <w:proofErr w:type="spellEnd"/>
    <w:r>
      <w:t xml:space="preserve"> est </w:t>
    </w:r>
    <w:proofErr w:type="spellStart"/>
    <w:r>
      <w:t>enim</w:t>
    </w:r>
    <w:proofErr w:type="spellEnd"/>
    <w:r>
      <w:t xml:space="preserve"> </w:t>
    </w:r>
    <w:proofErr w:type="spellStart"/>
    <w:r>
      <w:t>mihi</w:t>
    </w:r>
    <w:proofErr w:type="spellEnd"/>
    <w:r>
      <w:t xml:space="preserve"> </w:t>
    </w:r>
    <w:proofErr w:type="spellStart"/>
    <w:r>
      <w:t>quidem</w:t>
    </w:r>
    <w:proofErr w:type="spellEnd"/>
    <w:r>
      <w:tab/>
    </w:r>
    <w:r>
      <w:tab/>
      <w:t xml:space="preserve">page </w:t>
    </w:r>
    <w:r w:rsidRPr="00D14A01">
      <w:rPr>
        <w:rStyle w:val="Numrodepage"/>
      </w:rPr>
      <w:fldChar w:fldCharType="begin"/>
    </w:r>
    <w:r w:rsidRPr="00CF7C5D">
      <w:rPr>
        <w:rStyle w:val="Numrodepage"/>
      </w:rPr>
      <w:instrText xml:space="preserve"> PAGE </w:instrText>
    </w:r>
    <w:r w:rsidRPr="00D14A01">
      <w:rPr>
        <w:rStyle w:val="Numrodepage"/>
      </w:rPr>
      <w:fldChar w:fldCharType="separate"/>
    </w:r>
    <w:r>
      <w:rPr>
        <w:rStyle w:val="Numrodepage"/>
        <w:noProof/>
      </w:rPr>
      <w:t>31</w:t>
    </w:r>
    <w:r w:rsidRPr="00D14A01">
      <w:rPr>
        <w:rStyle w:val="Numrodepage"/>
      </w:rPr>
      <w:fldChar w:fldCharType="end"/>
    </w:r>
    <w:r>
      <w:rPr>
        <w:rStyle w:val="Numrodepage"/>
      </w:rPr>
      <w:t>/</w:t>
    </w:r>
    <w:r w:rsidRPr="00D14A01">
      <w:rPr>
        <w:rStyle w:val="Numrodepage"/>
      </w:rPr>
      <w:fldChar w:fldCharType="begin"/>
    </w:r>
    <w:r w:rsidRPr="00CF7C5D">
      <w:rPr>
        <w:rStyle w:val="Numrodepage"/>
      </w:rPr>
      <w:instrText xml:space="preserve"> NUMPAGES </w:instrText>
    </w:r>
    <w:r w:rsidRPr="00D14A01">
      <w:rPr>
        <w:rStyle w:val="Numrodepage"/>
      </w:rPr>
      <w:fldChar w:fldCharType="separate"/>
    </w:r>
    <w:r>
      <w:rPr>
        <w:rStyle w:val="Numrodepage"/>
        <w:noProof/>
      </w:rPr>
      <w:t>31</w:t>
    </w:r>
    <w:r w:rsidRPr="00D14A01">
      <w:rPr>
        <w:rStyle w:val="Numrodepag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1750D" w14:textId="0DB56F52" w:rsidR="00EF7C74" w:rsidRDefault="000150BE">
    <w:pPr>
      <w:pStyle w:val="Pieddepage"/>
    </w:pPr>
    <w:r>
      <w:rPr>
        <w:b/>
        <w:bCs/>
        <w:noProof/>
      </w:rPr>
      <mc:AlternateContent>
        <mc:Choice Requires="wps">
          <w:drawing>
            <wp:anchor distT="0" distB="0" distL="114300" distR="114300" simplePos="0" relativeHeight="251663872" behindDoc="0" locked="0" layoutInCell="1" allowOverlap="1" wp14:anchorId="047C5BF5" wp14:editId="3CC34B03">
              <wp:simplePos x="0" y="0"/>
              <wp:positionH relativeFrom="column">
                <wp:posOffset>5043268</wp:posOffset>
              </wp:positionH>
              <wp:positionV relativeFrom="paragraph">
                <wp:posOffset>232117</wp:posOffset>
              </wp:positionV>
              <wp:extent cx="1678899" cy="329784"/>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678899" cy="329784"/>
                      </a:xfrm>
                      <a:prstGeom prst="rect">
                        <a:avLst/>
                      </a:prstGeom>
                      <a:noFill/>
                      <a:ln w="6350">
                        <a:noFill/>
                      </a:ln>
                    </wps:spPr>
                    <wps:txbx>
                      <w:txbxContent>
                        <w:p w14:paraId="1905C724" w14:textId="77777777" w:rsidR="000150BE" w:rsidRPr="000150BE" w:rsidRDefault="000150BE" w:rsidP="000150BE">
                          <w:pPr>
                            <w:jc w:val="center"/>
                            <w:rPr>
                              <w:b/>
                              <w:bCs/>
                              <w:color w:val="44546A" w:themeColor="text2"/>
                              <w:szCs w:val="32"/>
                            </w:rPr>
                          </w:pPr>
                          <w:r w:rsidRPr="000150BE">
                            <w:rPr>
                              <w:b/>
                              <w:bCs/>
                              <w:color w:val="44546A" w:themeColor="text2"/>
                              <w:szCs w:val="32"/>
                            </w:rPr>
                            <w:t>klima-agence.lu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7C5BF5" id="_x0000_t202" coordsize="21600,21600" o:spt="202" path="m,l,21600r21600,l21600,xe">
              <v:stroke joinstyle="miter"/>
              <v:path gradientshapeok="t" o:connecttype="rect"/>
            </v:shapetype>
            <v:shape id="Zone de texte 17" o:spid="_x0000_s1026" type="#_x0000_t202" style="position:absolute;left:0;text-align:left;margin-left:397.1pt;margin-top:18.3pt;width:132.2pt;height:25.9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" filled="f" stroked="f" strokeweight=".5pt">
              <v:textbox>
                <w:txbxContent>
                  <w:p w14:paraId="1905C724" w14:textId="77777777" w:rsidR="000150BE" w:rsidRPr="000150BE" w:rsidRDefault="000150BE" w:rsidP="000150BE">
                    <w:pPr>
                      <w:jc w:val="center"/>
                      <w:rPr>
                        <w:b/>
                        <w:bCs/>
                        <w:color w:val="44546A" w:themeColor="text2"/>
                        <w:szCs w:val="32"/>
                      </w:rPr>
                    </w:pPr>
                    <w:r w:rsidRPr="000150BE">
                      <w:rPr>
                        <w:b/>
                        <w:bCs/>
                        <w:color w:val="44546A" w:themeColor="text2"/>
                        <w:szCs w:val="32"/>
                      </w:rPr>
                      <w:t>klima-agence.lu</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F0E1D" w14:textId="2B7271AD" w:rsidR="00EF7C74" w:rsidRPr="00CF7C5D" w:rsidRDefault="00EF7C74" w:rsidP="006F2F94">
    <w:pPr>
      <w:pStyle w:val="Pieddepage"/>
      <w:pBdr>
        <w:top w:val="single" w:sz="4" w:space="1" w:color="808080" w:themeColor="background1" w:themeShade="80"/>
      </w:pBdr>
    </w:pPr>
    <w:r>
      <w:t>Bases de planification de l'infrastructure de recharge pour les bâtiments résidentiels et fonctionnels (version : 08/2020)</w:t>
    </w:r>
    <w:r>
      <w:tab/>
      <w:t xml:space="preserve">Page </w:t>
    </w:r>
    <w:r w:rsidRPr="00D14A01">
      <w:rPr>
        <w:rStyle w:val="Numrodepage"/>
      </w:rPr>
      <w:fldChar w:fldCharType="begin"/>
    </w:r>
    <w:r w:rsidRPr="00CF7C5D">
      <w:rPr>
        <w:rStyle w:val="Numrodepage"/>
      </w:rPr>
      <w:instrText xml:space="preserve"> PAGE </w:instrText>
    </w:r>
    <w:r w:rsidRPr="00D14A01">
      <w:rPr>
        <w:rStyle w:val="Numrodepage"/>
      </w:rPr>
      <w:fldChar w:fldCharType="separate"/>
    </w:r>
    <w:r>
      <w:rPr>
        <w:rStyle w:val="Numrodepage"/>
        <w:noProof/>
      </w:rPr>
      <w:t>21</w:t>
    </w:r>
    <w:r w:rsidRPr="00D14A01">
      <w:rPr>
        <w:rStyle w:val="Numrodepage"/>
      </w:rPr>
      <w:fldChar w:fldCharType="end"/>
    </w:r>
    <w:r>
      <w:rPr>
        <w:rStyle w:val="Numrodepage"/>
      </w:rPr>
      <w:t>/</w:t>
    </w:r>
    <w:r w:rsidRPr="00D14A01">
      <w:rPr>
        <w:rStyle w:val="Numrodepage"/>
      </w:rPr>
      <w:fldChar w:fldCharType="begin"/>
    </w:r>
    <w:r w:rsidRPr="00CF7C5D">
      <w:rPr>
        <w:rStyle w:val="Numrodepage"/>
      </w:rPr>
      <w:instrText xml:space="preserve"> NUMPAGES </w:instrText>
    </w:r>
    <w:r w:rsidRPr="00D14A01">
      <w:rPr>
        <w:rStyle w:val="Numrodepage"/>
      </w:rPr>
      <w:fldChar w:fldCharType="separate"/>
    </w:r>
    <w:r>
      <w:rPr>
        <w:rStyle w:val="Numrodepage"/>
        <w:noProof/>
      </w:rPr>
      <w:t>31</w:t>
    </w:r>
    <w:r w:rsidRPr="00D14A01">
      <w:rPr>
        <w:rStyle w:val="Numrodepage"/>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B8714" w14:textId="77777777" w:rsidR="00EF7C74" w:rsidRDefault="00EF7C74">
    <w:pPr>
      <w:pStyle w:val="Pieddepage"/>
    </w:pPr>
    <w:r>
      <w:rPr>
        <w:noProof/>
        <w:lang w:val="en-US" w:eastAsia="en-US"/>
      </w:rPr>
      <w:drawing>
        <wp:anchor distT="0" distB="0" distL="114300" distR="114300" simplePos="0" relativeHeight="251657728" behindDoc="1" locked="0" layoutInCell="1" allowOverlap="1" wp14:anchorId="46ED95A9" wp14:editId="23935EA5">
          <wp:simplePos x="0" y="0"/>
          <wp:positionH relativeFrom="column">
            <wp:posOffset>3337120</wp:posOffset>
          </wp:positionH>
          <wp:positionV relativeFrom="paragraph">
            <wp:posOffset>-8331200</wp:posOffset>
          </wp:positionV>
          <wp:extent cx="3491523" cy="8890782"/>
          <wp:effectExtent l="25400" t="0" r="0" b="0"/>
          <wp:wrapNone/>
          <wp:docPr id="13" name="Image 2" descr="1-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riangle.jpg"/>
                  <pic:cNvPicPr/>
                </pic:nvPicPr>
                <pic:blipFill>
                  <a:blip r:embed="rId1"/>
                  <a:stretch>
                    <a:fillRect/>
                  </a:stretch>
                </pic:blipFill>
                <pic:spPr>
                  <a:xfrm>
                    <a:off x="0" y="0"/>
                    <a:ext cx="3491523" cy="8890781"/>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AD774" w14:textId="77777777" w:rsidR="00CF7803" w:rsidRDefault="00CF7803" w:rsidP="00FA1A7C">
      <w:pPr>
        <w:spacing w:before="0" w:after="0"/>
      </w:pPr>
      <w:r>
        <w:separator/>
      </w:r>
    </w:p>
  </w:footnote>
  <w:footnote w:type="continuationSeparator" w:id="0">
    <w:p w14:paraId="4F14443F" w14:textId="77777777" w:rsidR="00CF7803" w:rsidRDefault="00CF7803" w:rsidP="00FA1A7C">
      <w:pPr>
        <w:spacing w:before="0" w:after="0"/>
      </w:pPr>
      <w:r>
        <w:continuationSeparator/>
      </w:r>
    </w:p>
  </w:footnote>
  <w:footnote w:id="1">
    <w:p w14:paraId="46E09FD3" w14:textId="3E1B1DD7" w:rsidR="00EF7C74" w:rsidRPr="002A5C35" w:rsidRDefault="00EF7C74">
      <w:pPr>
        <w:pStyle w:val="Notedebasdepage"/>
        <w:rPr>
          <w:color w:val="808080" w:themeColor="background1" w:themeShade="80"/>
        </w:rPr>
      </w:pPr>
      <w:r>
        <w:rPr>
          <w:rStyle w:val="Appelnotedebasdep"/>
          <w:color w:val="808080" w:themeColor="background1" w:themeShade="80"/>
        </w:rPr>
        <w:footnoteRef/>
      </w:r>
      <w:r>
        <w:t xml:space="preserve"> </w:t>
      </w:r>
      <w:r>
        <w:rPr>
          <w:rFonts w:ascii="Arial" w:hAnsi="Arial"/>
          <w:color w:val="808080" w:themeColor="background1" w:themeShade="80"/>
          <w:sz w:val="18"/>
        </w:rPr>
        <w:t>Le courant typique au niveau d'une prise avec terre peut être de 16 A, mais ce type de véhicule ne se recharge généralement qu'à max. 1,8 kW, soit 8 A.</w:t>
      </w:r>
    </w:p>
  </w:footnote>
  <w:footnote w:id="2">
    <w:p w14:paraId="654B2103" w14:textId="326FFE6B" w:rsidR="00EF7C74" w:rsidRPr="002A5C35" w:rsidRDefault="00EF7C74">
      <w:pPr>
        <w:pStyle w:val="Notedebasdepage"/>
        <w:rPr>
          <w:color w:val="808080" w:themeColor="background1" w:themeShade="80"/>
        </w:rPr>
      </w:pPr>
      <w:r>
        <w:rPr>
          <w:rStyle w:val="Appelnotedebasdep"/>
          <w:color w:val="808080" w:themeColor="background1" w:themeShade="80"/>
        </w:rPr>
        <w:footnoteRef/>
      </w:r>
      <w:r>
        <w:t xml:space="preserve"> </w:t>
      </w:r>
      <w:r>
        <w:rPr>
          <w:rFonts w:ascii="Arial" w:hAnsi="Arial"/>
          <w:color w:val="808080" w:themeColor="background1" w:themeShade="80"/>
          <w:sz w:val="18"/>
          <w:szCs w:val="18"/>
        </w:rPr>
        <w:t>La version actuellement en vigueur des TAB peut être consultée sur le site internet du GRD concerné ou de l'ILR.</w:t>
      </w:r>
    </w:p>
  </w:footnote>
  <w:footnote w:id="3">
    <w:p w14:paraId="3D4CDC4B" w14:textId="77777777" w:rsidR="00EF7C74" w:rsidRPr="002A5C35" w:rsidRDefault="00EF7C74" w:rsidP="00CF7C5D">
      <w:pPr>
        <w:pStyle w:val="Lgende"/>
        <w:rPr>
          <w:rFonts w:ascii="Arial" w:hAnsi="Arial" w:cs="Arial"/>
          <w:i w:val="0"/>
          <w:color w:val="808080" w:themeColor="background1" w:themeShade="80"/>
        </w:rPr>
      </w:pPr>
      <w:r>
        <w:rPr>
          <w:rStyle w:val="Appelnotedebasdep"/>
          <w:rFonts w:ascii="Arial" w:hAnsi="Arial" w:cs="Arial"/>
          <w:i w:val="0"/>
          <w:color w:val="808080" w:themeColor="background1" w:themeShade="80"/>
        </w:rPr>
        <w:footnoteRef/>
      </w:r>
      <w:r>
        <w:t xml:space="preserve"> </w:t>
      </w:r>
      <w:r>
        <w:rPr>
          <w:rFonts w:ascii="Arial" w:hAnsi="Arial"/>
          <w:i w:val="0"/>
          <w:color w:val="808080" w:themeColor="background1" w:themeShade="80"/>
        </w:rPr>
        <w:t>Hypothèse : Consommation de 20 kWh/100 km</w:t>
      </w:r>
    </w:p>
  </w:footnote>
  <w:footnote w:id="4">
    <w:p w14:paraId="48ABEBDB" w14:textId="77777777" w:rsidR="00EF7C74" w:rsidRPr="00151846" w:rsidRDefault="00EF7C74" w:rsidP="00CF7C5D">
      <w:pPr>
        <w:pStyle w:val="Lgende"/>
      </w:pPr>
      <w:r>
        <w:rPr>
          <w:rStyle w:val="Appelnotedebasdep"/>
          <w:rFonts w:ascii="Arial" w:hAnsi="Arial" w:cs="Arial"/>
          <w:i w:val="0"/>
          <w:color w:val="808080" w:themeColor="background1" w:themeShade="80"/>
        </w:rPr>
        <w:footnoteRef/>
      </w:r>
      <w:r>
        <w:t xml:space="preserve"> </w:t>
      </w:r>
      <w:r>
        <w:rPr>
          <w:rFonts w:ascii="Arial" w:hAnsi="Arial"/>
          <w:i w:val="0"/>
          <w:color w:val="808080" w:themeColor="background1" w:themeShade="80"/>
        </w:rPr>
        <w:t xml:space="preserve">Trajet quotidien moyen au Luxembourg, source : </w:t>
      </w:r>
      <w:proofErr w:type="spellStart"/>
      <w:r>
        <w:rPr>
          <w:rFonts w:ascii="Arial" w:hAnsi="Arial"/>
          <w:i w:val="0"/>
          <w:color w:val="808080" w:themeColor="background1" w:themeShade="80"/>
        </w:rPr>
        <w:t>Modu</w:t>
      </w:r>
      <w:proofErr w:type="spellEnd"/>
      <w:r>
        <w:rPr>
          <w:rFonts w:ascii="Arial" w:hAnsi="Arial"/>
          <w:i w:val="0"/>
          <w:color w:val="808080" w:themeColor="background1" w:themeShade="80"/>
        </w:rPr>
        <w:t xml:space="preserve"> 2.0</w:t>
      </w:r>
    </w:p>
  </w:footnote>
  <w:footnote w:id="5">
    <w:p w14:paraId="1264C57D" w14:textId="2A7828F2" w:rsidR="00EF7C74" w:rsidRPr="00316A06" w:rsidRDefault="00EF7C74" w:rsidP="00316A06">
      <w:pPr>
        <w:pStyle w:val="Notedebasdepage"/>
      </w:pPr>
      <w:r>
        <w:rPr>
          <w:rStyle w:val="Appelnotedebasdep"/>
          <w:color w:val="808080" w:themeColor="background1" w:themeShade="80"/>
        </w:rPr>
        <w:footnoteRef/>
      </w:r>
      <w:r>
        <w:rPr>
          <w:color w:val="808080" w:themeColor="background1" w:themeShade="80"/>
        </w:rPr>
        <w:t xml:space="preserve"> </w:t>
      </w:r>
      <w:r>
        <w:rPr>
          <w:rFonts w:ascii="Arial" w:hAnsi="Arial"/>
          <w:iCs/>
          <w:color w:val="808080" w:themeColor="background1" w:themeShade="80"/>
          <w:sz w:val="18"/>
        </w:rPr>
        <w:t>Mode de recharge 4 - Raccordement CC : Le véhicule électrique est raccordé à une station de recharge rapide. Cette station de recharge fournit une puissance de plus de 50 kW, et donc un temps de recharge plus court. En raison de la complexité de ce système (dimensions et exigences en matière de refroidissement), ces stations de recharge sont principalement installées dans des lieux publics ou le long d'axes transversaux.</w:t>
      </w:r>
    </w:p>
  </w:footnote>
  <w:footnote w:id="6">
    <w:p w14:paraId="06841CC2" w14:textId="6F757002" w:rsidR="00EF7C74" w:rsidRPr="007D020A" w:rsidRDefault="00EF7C74" w:rsidP="00CF7C5D">
      <w:pPr>
        <w:pStyle w:val="Notedebasdepage"/>
        <w:rPr>
          <w:rFonts w:ascii="Arial" w:hAnsi="Arial" w:cs="Arial"/>
        </w:rPr>
      </w:pPr>
      <w:r>
        <w:rPr>
          <w:rStyle w:val="Appelnotedebasdep"/>
          <w:rFonts w:ascii="Arial" w:hAnsi="Arial" w:cs="Arial"/>
          <w:color w:val="808080" w:themeColor="background1" w:themeShade="80"/>
        </w:rPr>
        <w:footnoteRef/>
      </w:r>
      <w:r>
        <w:t xml:space="preserve"> </w:t>
      </w:r>
      <w:r>
        <w:rPr>
          <w:rFonts w:ascii="Arial" w:hAnsi="Arial"/>
          <w:color w:val="808080" w:themeColor="background1" w:themeShade="80"/>
        </w:rPr>
        <w:t>Il s'agit d'une valeur minimale théorique, car un courant minimum pour la charge sur courant alternatif est fixé par la norme CEI 61851 à 6 A (4 kW en triphasé ou 1,4 kW en monophasé).</w:t>
      </w:r>
    </w:p>
  </w:footnote>
  <w:footnote w:id="7">
    <w:p w14:paraId="76D8E8F8" w14:textId="740006DA" w:rsidR="00EF7C74" w:rsidRPr="00F1591B" w:rsidRDefault="00EF7C74">
      <w:pPr>
        <w:pStyle w:val="Notedebasdepage"/>
      </w:pPr>
      <w:r>
        <w:rPr>
          <w:rStyle w:val="Appelnotedebasdep"/>
        </w:rPr>
        <w:footnoteRef/>
      </w:r>
      <w:r>
        <w:t xml:space="preserve"> </w:t>
      </w:r>
      <w:r>
        <w:rPr>
          <w:rFonts w:ascii="Arial" w:hAnsi="Arial"/>
        </w:rPr>
        <w:t>L'imputation ou la ventilation des coûts de charge selon les points de recharge ne constituent pas une vente d'électricité, mais simplement une prestation payante.</w:t>
      </w:r>
    </w:p>
  </w:footnote>
  <w:footnote w:id="8">
    <w:p w14:paraId="34108D2B" w14:textId="7A5003B3" w:rsidR="00EF7C74" w:rsidRPr="00671885" w:rsidRDefault="00EF7C74">
      <w:pPr>
        <w:pStyle w:val="Notedebasdepage"/>
      </w:pPr>
      <w:r>
        <w:rPr>
          <w:rStyle w:val="Appelnotedebasdep"/>
        </w:rPr>
        <w:footnoteRef/>
      </w:r>
      <w:hyperlink r:id="rId1" w:history="1">
        <w:r>
          <w:rPr>
            <w:rStyle w:val="Lienhypertexte"/>
            <w:rFonts w:ascii="Arial" w:hAnsi="Arial"/>
            <w:color w:val="808080" w:themeColor="background1" w:themeShade="80"/>
          </w:rPr>
          <w:t>https://itm.public.lu/dam-assets/fr/securite-sante/conditions-types/itm-cl-1100-2000/ITM-SST-1506-3.pdf</w:t>
        </w:r>
      </w:hyperlink>
      <w:r>
        <w:rPr>
          <w:color w:val="808080" w:themeColor="background1" w:themeShade="80"/>
        </w:rPr>
        <w:t xml:space="preserve"> </w:t>
      </w:r>
    </w:p>
  </w:footnote>
  <w:footnote w:id="9">
    <w:p w14:paraId="5C05CD93" w14:textId="095D6DAB" w:rsidR="00EF7C74" w:rsidRPr="003750E9" w:rsidRDefault="00EF7C74">
      <w:pPr>
        <w:pStyle w:val="Notedebasdepage"/>
        <w:rPr>
          <w:rFonts w:ascii="Arial" w:hAnsi="Arial" w:cs="Arial"/>
        </w:rPr>
      </w:pPr>
      <w:r>
        <w:rPr>
          <w:rStyle w:val="Appelnotedebasdep"/>
          <w:color w:val="808080" w:themeColor="background1" w:themeShade="80"/>
        </w:rPr>
        <w:footnoteRef/>
      </w:r>
      <w:r>
        <w:rPr>
          <w:color w:val="808080" w:themeColor="background1" w:themeShade="80"/>
        </w:rPr>
        <w:t xml:space="preserve"> </w:t>
      </w:r>
      <w:r>
        <w:rPr>
          <w:rFonts w:ascii="Arial" w:hAnsi="Arial"/>
          <w:color w:val="808080" w:themeColor="background1" w:themeShade="80"/>
        </w:rPr>
        <w:t xml:space="preserve">Si vous avez des questions sur le système </w:t>
      </w:r>
      <w:proofErr w:type="spellStart"/>
      <w:r>
        <w:rPr>
          <w:rFonts w:ascii="Arial" w:hAnsi="Arial"/>
          <w:color w:val="808080" w:themeColor="background1" w:themeShade="80"/>
        </w:rPr>
        <w:t>Chargy</w:t>
      </w:r>
      <w:proofErr w:type="spellEnd"/>
      <w:r>
        <w:rPr>
          <w:rFonts w:ascii="Arial" w:hAnsi="Arial"/>
          <w:color w:val="808080" w:themeColor="background1" w:themeShade="80"/>
        </w:rPr>
        <w:t xml:space="preserve">, veuillez contacter le GRD concerné. Vous trouverez de plus amples informations sur le site </w:t>
      </w:r>
      <w:proofErr w:type="spellStart"/>
      <w:r>
        <w:rPr>
          <w:rFonts w:ascii="Arial" w:hAnsi="Arial"/>
          <w:color w:val="808080" w:themeColor="background1" w:themeShade="80"/>
        </w:rPr>
        <w:t>www.chargy.lu</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D320C" w14:textId="77777777" w:rsidR="00EF7C74" w:rsidRDefault="00EF7C74">
    <w:pPr>
      <w:pStyle w:val="En-tte"/>
    </w:pPr>
    <w:r>
      <w:rPr>
        <w:noProof/>
        <w:lang w:val="en-US" w:eastAsia="en-US"/>
      </w:rPr>
      <w:drawing>
        <wp:anchor distT="0" distB="0" distL="114300" distR="114300" simplePos="0" relativeHeight="251656704" behindDoc="1" locked="0" layoutInCell="1" allowOverlap="1" wp14:anchorId="225DB9B9" wp14:editId="00AAB000">
          <wp:simplePos x="0" y="0"/>
          <wp:positionH relativeFrom="column">
            <wp:posOffset>-685800</wp:posOffset>
          </wp:positionH>
          <wp:positionV relativeFrom="paragraph">
            <wp:posOffset>-1600200</wp:posOffset>
          </wp:positionV>
          <wp:extent cx="1651000" cy="1798320"/>
          <wp:effectExtent l="0" t="0" r="0" b="5080"/>
          <wp:wrapNone/>
          <wp:docPr id="4" name="Image 0" descr="2+3_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_logo(1).jpg"/>
                  <pic:cNvPicPr/>
                </pic:nvPicPr>
                <pic:blipFill>
                  <a:blip r:embed="rId1"/>
                  <a:stretch>
                    <a:fillRect/>
                  </a:stretch>
                </pic:blipFill>
                <pic:spPr>
                  <a:xfrm>
                    <a:off x="0" y="0"/>
                    <a:ext cx="1651000" cy="17983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72D83" w14:textId="62D1DD9D" w:rsidR="00EF7C74" w:rsidRDefault="00EF7C74" w:rsidP="00582A63">
    <w:pPr>
      <w:pStyle w:val="En-tte"/>
    </w:pPr>
    <w:r>
      <w:rPr>
        <w:noProof/>
        <w:lang w:val="en-US" w:eastAsia="en-US"/>
      </w:rPr>
      <w:drawing>
        <wp:anchor distT="0" distB="0" distL="114300" distR="114300" simplePos="0" relativeHeight="251659776" behindDoc="0" locked="0" layoutInCell="1" allowOverlap="1" wp14:anchorId="2C2B9068" wp14:editId="00C6BE71">
          <wp:simplePos x="0" y="0"/>
          <wp:positionH relativeFrom="column">
            <wp:posOffset>-58420</wp:posOffset>
          </wp:positionH>
          <wp:positionV relativeFrom="paragraph">
            <wp:posOffset>-1290955</wp:posOffset>
          </wp:positionV>
          <wp:extent cx="1049020" cy="1503680"/>
          <wp:effectExtent l="0" t="0" r="0" b="0"/>
          <wp:wrapTight wrapText="bothSides">
            <wp:wrapPolygon edited="0">
              <wp:start x="0" y="1095"/>
              <wp:lineTo x="0" y="20068"/>
              <wp:lineTo x="11506" y="20068"/>
              <wp:lineTo x="14644" y="19338"/>
              <wp:lineTo x="20397" y="15324"/>
              <wp:lineTo x="19874" y="13500"/>
              <wp:lineTo x="11506" y="7662"/>
              <wp:lineTo x="11506" y="1095"/>
              <wp:lineTo x="0" y="109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MJN-myenergy_logo.pdf"/>
                  <pic:cNvPicPr/>
                </pic:nvPicPr>
                <pic:blipFill>
                  <a:blip r:embed="rId1">
                    <a:extLst>
                      <a:ext uri="{28A0092B-C50C-407E-A947-70E740481C1C}">
                        <a14:useLocalDpi xmlns:a14="http://schemas.microsoft.com/office/drawing/2010/main" val="0"/>
                      </a:ext>
                    </a:extLst>
                  </a:blip>
                  <a:stretch>
                    <a:fillRect/>
                  </a:stretch>
                </pic:blipFill>
                <pic:spPr>
                  <a:xfrm>
                    <a:off x="0" y="0"/>
                    <a:ext cx="1049020" cy="15036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CA5F7" w14:textId="41D2B46B" w:rsidR="00EF7C74" w:rsidRDefault="000150BE" w:rsidP="00582A63">
    <w:pPr>
      <w:pStyle w:val="En-tte"/>
    </w:pPr>
    <w:r>
      <w:rPr>
        <w:noProof/>
      </w:rPr>
      <w:drawing>
        <wp:anchor distT="0" distB="0" distL="114300" distR="114300" simplePos="0" relativeHeight="251661824" behindDoc="1" locked="0" layoutInCell="1" allowOverlap="1" wp14:anchorId="4B6048A8" wp14:editId="181BE04B">
          <wp:simplePos x="0" y="0"/>
          <wp:positionH relativeFrom="column">
            <wp:posOffset>-652194</wp:posOffset>
          </wp:positionH>
          <wp:positionV relativeFrom="paragraph">
            <wp:posOffset>-1624330</wp:posOffset>
          </wp:positionV>
          <wp:extent cx="7559303" cy="10684800"/>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59303" cy="106848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BBE04" w14:textId="77777777" w:rsidR="00EF7C74" w:rsidRDefault="00EF7C74">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078F1" w14:textId="77777777" w:rsidR="00EF7C74" w:rsidRDefault="00EF7C74">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1813D" w14:textId="77777777" w:rsidR="00EF7C74" w:rsidRDefault="00EF7C7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96639"/>
    <w:multiLevelType w:val="hybridMultilevel"/>
    <w:tmpl w:val="FDAA2B28"/>
    <w:lvl w:ilvl="0" w:tplc="046E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17F4B0C"/>
    <w:multiLevelType w:val="multilevel"/>
    <w:tmpl w:val="9398C37E"/>
    <w:lvl w:ilvl="0">
      <w:start w:val="1"/>
      <w:numFmt w:val="decimal"/>
      <w:pStyle w:val="Titre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5916E5D"/>
    <w:multiLevelType w:val="hybridMultilevel"/>
    <w:tmpl w:val="7248D60C"/>
    <w:lvl w:ilvl="0" w:tplc="F698D3A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820852"/>
    <w:multiLevelType w:val="multilevel"/>
    <w:tmpl w:val="89701A5E"/>
    <w:lvl w:ilvl="0">
      <w:start w:val="1"/>
      <w:numFmt w:val="upperLetter"/>
      <w:lvlText w:val="%1."/>
      <w:lvlJc w:val="left"/>
      <w:pPr>
        <w:ind w:left="0" w:firstLine="0"/>
      </w:pPr>
      <w:rPr>
        <w:rFonts w:ascii="Arial" w:hAnsi="Arial" w:hint="default"/>
        <w:b/>
        <w:i w:val="0"/>
        <w:color w:val="000000" w:themeColor="text1"/>
        <w:sz w:val="24"/>
      </w:rPr>
    </w:lvl>
    <w:lvl w:ilvl="1">
      <w:start w:val="1"/>
      <w:numFmt w:val="decimal"/>
      <w:lvlText w:val="%2."/>
      <w:lvlJc w:val="left"/>
      <w:pPr>
        <w:ind w:left="720" w:hanging="720"/>
      </w:pPr>
      <w:rPr>
        <w:rFonts w:ascii="Arial" w:hAnsi="Arial" w:hint="default"/>
        <w:b/>
        <w:i w:val="0"/>
        <w:color w:val="000000" w:themeColor="text1"/>
        <w:sz w:val="22"/>
      </w:rPr>
    </w:lvl>
    <w:lvl w:ilvl="2">
      <w:start w:val="1"/>
      <w:numFmt w:val="decimal"/>
      <w:lvlText w:val="%2.%3."/>
      <w:lvlJc w:val="left"/>
      <w:pPr>
        <w:ind w:left="1440" w:hanging="1440"/>
      </w:pPr>
      <w:rPr>
        <w:rFonts w:ascii="Arial" w:hAnsi="Arial" w:hint="default"/>
        <w:b w:val="0"/>
        <w:i w:val="0"/>
        <w:color w:val="000000" w:themeColor="text1"/>
        <w:sz w:val="22"/>
      </w:rPr>
    </w:lvl>
    <w:lvl w:ilvl="3">
      <w:start w:val="1"/>
      <w:numFmt w:val="lowerLetter"/>
      <w:pStyle w:val="Titre4"/>
      <w:lvlText w:val="%4)"/>
      <w:lvlJc w:val="left"/>
      <w:pPr>
        <w:ind w:left="2160" w:hanging="1026"/>
      </w:pPr>
      <w:rPr>
        <w:rFonts w:hint="default"/>
      </w:rPr>
    </w:lvl>
    <w:lvl w:ilvl="4">
      <w:start w:val="1"/>
      <w:numFmt w:val="decimal"/>
      <w:pStyle w:val="Titre5"/>
      <w:lvlText w:val="(%5)"/>
      <w:lvlJc w:val="left"/>
      <w:pPr>
        <w:ind w:left="2880" w:firstLine="0"/>
      </w:pPr>
      <w:rPr>
        <w:rFonts w:hint="default"/>
      </w:rPr>
    </w:lvl>
    <w:lvl w:ilvl="5">
      <w:start w:val="1"/>
      <w:numFmt w:val="lowerLetter"/>
      <w:pStyle w:val="Titre6"/>
      <w:lvlText w:val="(%6)"/>
      <w:lvlJc w:val="left"/>
      <w:pPr>
        <w:ind w:left="3600" w:firstLine="0"/>
      </w:pPr>
      <w:rPr>
        <w:rFonts w:hint="default"/>
      </w:rPr>
    </w:lvl>
    <w:lvl w:ilvl="6">
      <w:start w:val="1"/>
      <w:numFmt w:val="lowerRoman"/>
      <w:pStyle w:val="Titre7"/>
      <w:lvlText w:val="(%7)"/>
      <w:lvlJc w:val="left"/>
      <w:pPr>
        <w:ind w:left="4320" w:firstLine="0"/>
      </w:pPr>
      <w:rPr>
        <w:rFonts w:hint="default"/>
      </w:rPr>
    </w:lvl>
    <w:lvl w:ilvl="7">
      <w:start w:val="1"/>
      <w:numFmt w:val="lowerLetter"/>
      <w:pStyle w:val="Titre8"/>
      <w:lvlText w:val="(%8)"/>
      <w:lvlJc w:val="left"/>
      <w:pPr>
        <w:ind w:left="5040" w:firstLine="0"/>
      </w:pPr>
      <w:rPr>
        <w:rFonts w:hint="default"/>
      </w:rPr>
    </w:lvl>
    <w:lvl w:ilvl="8">
      <w:start w:val="1"/>
      <w:numFmt w:val="lowerRoman"/>
      <w:pStyle w:val="Titre9"/>
      <w:lvlText w:val="(%9)"/>
      <w:lvlJc w:val="left"/>
      <w:pPr>
        <w:ind w:left="5760" w:firstLine="0"/>
      </w:pPr>
      <w:rPr>
        <w:rFonts w:hint="default"/>
      </w:rPr>
    </w:lvl>
  </w:abstractNum>
  <w:abstractNum w:abstractNumId="4" w15:restartNumberingAfterBreak="0">
    <w:nsid w:val="2FB749EB"/>
    <w:multiLevelType w:val="multilevel"/>
    <w:tmpl w:val="3954C2C4"/>
    <w:styleLink w:val="myenergy"/>
    <w:lvl w:ilvl="0">
      <w:start w:val="1"/>
      <w:numFmt w:val="upperLetter"/>
      <w:lvlText w:val="%1."/>
      <w:lvlJc w:val="left"/>
      <w:pPr>
        <w:ind w:left="0" w:firstLine="0"/>
      </w:pPr>
      <w:rPr>
        <w:rFonts w:ascii="Arial" w:hAnsi="Arial" w:hint="default"/>
        <w:b/>
        <w:i w:val="0"/>
        <w:color w:val="000000" w:themeColor="text1"/>
        <w:sz w:val="24"/>
      </w:rPr>
    </w:lvl>
    <w:lvl w:ilvl="1">
      <w:start w:val="1"/>
      <w:numFmt w:val="decimal"/>
      <w:lvlText w:val="%2."/>
      <w:lvlJc w:val="left"/>
      <w:pPr>
        <w:ind w:left="720" w:hanging="720"/>
      </w:pPr>
      <w:rPr>
        <w:rFonts w:ascii="Arial" w:hAnsi="Arial" w:hint="default"/>
        <w:b/>
        <w:i w:val="0"/>
        <w:color w:val="000000" w:themeColor="text1"/>
        <w:sz w:val="22"/>
      </w:rPr>
    </w:lvl>
    <w:lvl w:ilvl="2">
      <w:start w:val="1"/>
      <w:numFmt w:val="decimal"/>
      <w:lvlText w:val="%2.%3."/>
      <w:lvlJc w:val="left"/>
      <w:pPr>
        <w:ind w:left="720" w:hanging="720"/>
      </w:pPr>
      <w:rPr>
        <w:rFonts w:ascii="Arial" w:hAnsi="Arial" w:hint="default"/>
        <w:b w:val="0"/>
        <w:i w:val="0"/>
        <w:color w:val="000000" w:themeColor="text1"/>
        <w:sz w:val="22"/>
      </w:rPr>
    </w:lvl>
    <w:lvl w:ilvl="3">
      <w:start w:val="1"/>
      <w:numFmt w:val="lowerLetter"/>
      <w:lvlText w:val="%4)"/>
      <w:lvlJc w:val="left"/>
      <w:pPr>
        <w:ind w:left="2160" w:hanging="1026"/>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 w15:restartNumberingAfterBreak="0">
    <w:nsid w:val="384D17E8"/>
    <w:multiLevelType w:val="hybridMultilevel"/>
    <w:tmpl w:val="79482CE8"/>
    <w:lvl w:ilvl="0" w:tplc="140C000F">
      <w:start w:val="1"/>
      <w:numFmt w:val="decimal"/>
      <w:lvlText w:val="%1."/>
      <w:lvlJc w:val="left"/>
      <w:pPr>
        <w:ind w:left="720" w:hanging="360"/>
      </w:pPr>
      <w:rPr>
        <w:rFonts w:hint="default"/>
      </w:rPr>
    </w:lvl>
    <w:lvl w:ilvl="1" w:tplc="140C0019" w:tentative="1">
      <w:start w:val="1"/>
      <w:numFmt w:val="lowerLetter"/>
      <w:lvlText w:val="%2."/>
      <w:lvlJc w:val="left"/>
      <w:pPr>
        <w:ind w:left="1440" w:hanging="360"/>
      </w:p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6" w15:restartNumberingAfterBreak="0">
    <w:nsid w:val="39A649F2"/>
    <w:multiLevelType w:val="hybridMultilevel"/>
    <w:tmpl w:val="0066B68E"/>
    <w:lvl w:ilvl="0" w:tplc="046E0005">
      <w:start w:val="1"/>
      <w:numFmt w:val="bullet"/>
      <w:lvlText w:val=""/>
      <w:lvlJc w:val="left"/>
      <w:pPr>
        <w:ind w:left="360" w:hanging="360"/>
      </w:pPr>
      <w:rPr>
        <w:rFonts w:ascii="Wingdings" w:hAnsi="Wingdings"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7" w15:restartNumberingAfterBreak="0">
    <w:nsid w:val="3B851FDB"/>
    <w:multiLevelType w:val="hybridMultilevel"/>
    <w:tmpl w:val="773CBA88"/>
    <w:lvl w:ilvl="0" w:tplc="046E0005">
      <w:start w:val="1"/>
      <w:numFmt w:val="bullet"/>
      <w:lvlText w:val=""/>
      <w:lvlJc w:val="left"/>
      <w:pPr>
        <w:ind w:left="360" w:hanging="360"/>
      </w:pPr>
      <w:rPr>
        <w:rFonts w:ascii="Wingdings" w:hAnsi="Wingdings"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8" w15:restartNumberingAfterBreak="0">
    <w:nsid w:val="3FFF5D2D"/>
    <w:multiLevelType w:val="hybridMultilevel"/>
    <w:tmpl w:val="C11A8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F04F93"/>
    <w:multiLevelType w:val="hybridMultilevel"/>
    <w:tmpl w:val="19D6A5F6"/>
    <w:lvl w:ilvl="0" w:tplc="140C0001">
      <w:start w:val="1"/>
      <w:numFmt w:val="bullet"/>
      <w:lvlText w:val=""/>
      <w:lvlJc w:val="left"/>
      <w:pPr>
        <w:ind w:left="360" w:hanging="360"/>
      </w:pPr>
      <w:rPr>
        <w:rFonts w:ascii="Symbol" w:hAnsi="Symbol"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10" w15:restartNumberingAfterBreak="0">
    <w:nsid w:val="4E375BD6"/>
    <w:multiLevelType w:val="hybridMultilevel"/>
    <w:tmpl w:val="DD409F40"/>
    <w:lvl w:ilvl="0" w:tplc="140C0001">
      <w:start w:val="1"/>
      <w:numFmt w:val="bullet"/>
      <w:lvlText w:val=""/>
      <w:lvlJc w:val="left"/>
      <w:pPr>
        <w:ind w:left="360" w:hanging="360"/>
      </w:pPr>
      <w:rPr>
        <w:rFonts w:ascii="Symbol" w:hAnsi="Symbol"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11" w15:restartNumberingAfterBreak="0">
    <w:nsid w:val="4F6D4178"/>
    <w:multiLevelType w:val="hybridMultilevel"/>
    <w:tmpl w:val="CC94D05A"/>
    <w:lvl w:ilvl="0" w:tplc="AC84B5F4">
      <w:numFmt w:val="bullet"/>
      <w:pStyle w:val="Paragraphedeliste"/>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5D0FE9"/>
    <w:multiLevelType w:val="multilevel"/>
    <w:tmpl w:val="0409001F"/>
    <w:numStyleLink w:val="111111"/>
  </w:abstractNum>
  <w:abstractNum w:abstractNumId="13" w15:restartNumberingAfterBreak="0">
    <w:nsid w:val="61F9545F"/>
    <w:multiLevelType w:val="multilevel"/>
    <w:tmpl w:val="0409001F"/>
    <w:numStyleLink w:val="111111"/>
  </w:abstractNum>
  <w:abstractNum w:abstractNumId="14" w15:restartNumberingAfterBreak="0">
    <w:nsid w:val="6214722F"/>
    <w:multiLevelType w:val="hybridMultilevel"/>
    <w:tmpl w:val="79A29B3E"/>
    <w:lvl w:ilvl="0" w:tplc="140C0001">
      <w:start w:val="1"/>
      <w:numFmt w:val="bullet"/>
      <w:lvlText w:val=""/>
      <w:lvlJc w:val="left"/>
      <w:pPr>
        <w:ind w:left="360" w:hanging="360"/>
      </w:pPr>
      <w:rPr>
        <w:rFonts w:ascii="Symbol" w:hAnsi="Symbol" w:hint="default"/>
      </w:rPr>
    </w:lvl>
    <w:lvl w:ilvl="1" w:tplc="140C0003" w:tentative="1">
      <w:start w:val="1"/>
      <w:numFmt w:val="bullet"/>
      <w:lvlText w:val="o"/>
      <w:lvlJc w:val="left"/>
      <w:pPr>
        <w:ind w:left="1080" w:hanging="360"/>
      </w:pPr>
      <w:rPr>
        <w:rFonts w:ascii="Courier New" w:hAnsi="Courier New" w:cs="Courier New" w:hint="default"/>
      </w:rPr>
    </w:lvl>
    <w:lvl w:ilvl="2" w:tplc="140C0005" w:tentative="1">
      <w:start w:val="1"/>
      <w:numFmt w:val="bullet"/>
      <w:lvlText w:val=""/>
      <w:lvlJc w:val="left"/>
      <w:pPr>
        <w:ind w:left="1800" w:hanging="360"/>
      </w:pPr>
      <w:rPr>
        <w:rFonts w:ascii="Wingdings" w:hAnsi="Wingdings" w:hint="default"/>
      </w:rPr>
    </w:lvl>
    <w:lvl w:ilvl="3" w:tplc="140C0001" w:tentative="1">
      <w:start w:val="1"/>
      <w:numFmt w:val="bullet"/>
      <w:lvlText w:val=""/>
      <w:lvlJc w:val="left"/>
      <w:pPr>
        <w:ind w:left="2520" w:hanging="360"/>
      </w:pPr>
      <w:rPr>
        <w:rFonts w:ascii="Symbol" w:hAnsi="Symbol" w:hint="default"/>
      </w:rPr>
    </w:lvl>
    <w:lvl w:ilvl="4" w:tplc="140C0003" w:tentative="1">
      <w:start w:val="1"/>
      <w:numFmt w:val="bullet"/>
      <w:lvlText w:val="o"/>
      <w:lvlJc w:val="left"/>
      <w:pPr>
        <w:ind w:left="3240" w:hanging="360"/>
      </w:pPr>
      <w:rPr>
        <w:rFonts w:ascii="Courier New" w:hAnsi="Courier New" w:cs="Courier New" w:hint="default"/>
      </w:rPr>
    </w:lvl>
    <w:lvl w:ilvl="5" w:tplc="140C0005" w:tentative="1">
      <w:start w:val="1"/>
      <w:numFmt w:val="bullet"/>
      <w:lvlText w:val=""/>
      <w:lvlJc w:val="left"/>
      <w:pPr>
        <w:ind w:left="3960" w:hanging="360"/>
      </w:pPr>
      <w:rPr>
        <w:rFonts w:ascii="Wingdings" w:hAnsi="Wingdings" w:hint="default"/>
      </w:rPr>
    </w:lvl>
    <w:lvl w:ilvl="6" w:tplc="140C0001" w:tentative="1">
      <w:start w:val="1"/>
      <w:numFmt w:val="bullet"/>
      <w:lvlText w:val=""/>
      <w:lvlJc w:val="left"/>
      <w:pPr>
        <w:ind w:left="4680" w:hanging="360"/>
      </w:pPr>
      <w:rPr>
        <w:rFonts w:ascii="Symbol" w:hAnsi="Symbol" w:hint="default"/>
      </w:rPr>
    </w:lvl>
    <w:lvl w:ilvl="7" w:tplc="140C0003" w:tentative="1">
      <w:start w:val="1"/>
      <w:numFmt w:val="bullet"/>
      <w:lvlText w:val="o"/>
      <w:lvlJc w:val="left"/>
      <w:pPr>
        <w:ind w:left="5400" w:hanging="360"/>
      </w:pPr>
      <w:rPr>
        <w:rFonts w:ascii="Courier New" w:hAnsi="Courier New" w:cs="Courier New" w:hint="default"/>
      </w:rPr>
    </w:lvl>
    <w:lvl w:ilvl="8" w:tplc="140C0005" w:tentative="1">
      <w:start w:val="1"/>
      <w:numFmt w:val="bullet"/>
      <w:lvlText w:val=""/>
      <w:lvlJc w:val="left"/>
      <w:pPr>
        <w:ind w:left="6120" w:hanging="360"/>
      </w:pPr>
      <w:rPr>
        <w:rFonts w:ascii="Wingdings" w:hAnsi="Wingdings" w:hint="default"/>
      </w:rPr>
    </w:lvl>
  </w:abstractNum>
  <w:abstractNum w:abstractNumId="15" w15:restartNumberingAfterBreak="0">
    <w:nsid w:val="69704D90"/>
    <w:multiLevelType w:val="hybridMultilevel"/>
    <w:tmpl w:val="CB68D844"/>
    <w:lvl w:ilvl="0" w:tplc="3F029528">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44D79C3"/>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9853D9D"/>
    <w:multiLevelType w:val="multilevel"/>
    <w:tmpl w:val="A8E259C4"/>
    <w:lvl w:ilvl="0">
      <w:start w:val="1"/>
      <w:numFmt w:val="decimal"/>
      <w:lvlText w:val="%1."/>
      <w:lvlJc w:val="left"/>
      <w:pPr>
        <w:ind w:left="360" w:hanging="360"/>
      </w:pPr>
    </w:lvl>
    <w:lvl w:ilvl="1">
      <w:start w:val="1"/>
      <w:numFmt w:val="decimal"/>
      <w:pStyle w:val="Titre2"/>
      <w:lvlText w:val="%1.%2."/>
      <w:lvlJc w:val="left"/>
      <w:pPr>
        <w:ind w:left="792" w:hanging="432"/>
      </w:p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8602075">
    <w:abstractNumId w:val="3"/>
    <w:lvlOverride w:ilvl="0">
      <w:lvl w:ilvl="0">
        <w:start w:val="1"/>
        <w:numFmt w:val="decimal"/>
        <w:lvlText w:val="%1."/>
        <w:lvlJc w:val="left"/>
        <w:pPr>
          <w:ind w:left="-851" w:hanging="360"/>
        </w:pPr>
        <w:rPr>
          <w:rFonts w:hint="default"/>
        </w:rPr>
      </w:lvl>
    </w:lvlOverride>
    <w:lvlOverride w:ilvl="1">
      <w:lvl w:ilvl="1">
        <w:start w:val="1"/>
        <w:numFmt w:val="decimal"/>
        <w:lvlText w:val="%1.%2."/>
        <w:lvlJc w:val="left"/>
        <w:pPr>
          <w:ind w:left="-419" w:firstLine="759"/>
        </w:pPr>
        <w:rPr>
          <w:rFonts w:hint="default"/>
        </w:rPr>
      </w:lvl>
    </w:lvlOverride>
    <w:lvlOverride w:ilvl="2">
      <w:lvl w:ilvl="2">
        <w:start w:val="1"/>
        <w:numFmt w:val="decimal"/>
        <w:lvlText w:val="%1.%2.%3."/>
        <w:lvlJc w:val="left"/>
        <w:pPr>
          <w:ind w:left="13" w:hanging="504"/>
        </w:pPr>
        <w:rPr>
          <w:rFonts w:hint="default"/>
        </w:rPr>
      </w:lvl>
    </w:lvlOverride>
    <w:lvlOverride w:ilvl="3">
      <w:lvl w:ilvl="3">
        <w:start w:val="1"/>
        <w:numFmt w:val="decimal"/>
        <w:pStyle w:val="Titre4"/>
        <w:lvlText w:val="%1.%2.%3.%4."/>
        <w:lvlJc w:val="left"/>
        <w:pPr>
          <w:ind w:left="517" w:hanging="648"/>
        </w:pPr>
        <w:rPr>
          <w:rFonts w:hint="default"/>
        </w:rPr>
      </w:lvl>
    </w:lvlOverride>
    <w:lvlOverride w:ilvl="4">
      <w:lvl w:ilvl="4">
        <w:start w:val="1"/>
        <w:numFmt w:val="decimal"/>
        <w:pStyle w:val="Titre5"/>
        <w:lvlText w:val="%1.%2.%3.%4.%5."/>
        <w:lvlJc w:val="left"/>
        <w:pPr>
          <w:ind w:left="1021" w:hanging="792"/>
        </w:pPr>
        <w:rPr>
          <w:rFonts w:hint="default"/>
        </w:rPr>
      </w:lvl>
    </w:lvlOverride>
    <w:lvlOverride w:ilvl="5">
      <w:lvl w:ilvl="5">
        <w:start w:val="1"/>
        <w:numFmt w:val="decimal"/>
        <w:pStyle w:val="Titre6"/>
        <w:lvlText w:val="%1.%2.%3.%4.%5.%6."/>
        <w:lvlJc w:val="left"/>
        <w:pPr>
          <w:ind w:left="1525" w:hanging="936"/>
        </w:pPr>
        <w:rPr>
          <w:rFonts w:hint="default"/>
        </w:rPr>
      </w:lvl>
    </w:lvlOverride>
    <w:lvlOverride w:ilvl="6">
      <w:lvl w:ilvl="6">
        <w:start w:val="1"/>
        <w:numFmt w:val="decimal"/>
        <w:pStyle w:val="Titre7"/>
        <w:lvlText w:val="%1.%2.%3.%4.%5.%6.%7."/>
        <w:lvlJc w:val="left"/>
        <w:pPr>
          <w:ind w:left="2029" w:hanging="1080"/>
        </w:pPr>
        <w:rPr>
          <w:rFonts w:hint="default"/>
        </w:rPr>
      </w:lvl>
    </w:lvlOverride>
    <w:lvlOverride w:ilvl="7">
      <w:lvl w:ilvl="7">
        <w:start w:val="1"/>
        <w:numFmt w:val="decimal"/>
        <w:pStyle w:val="Titre8"/>
        <w:lvlText w:val="%1.%2.%3.%4.%5.%6.%7.%8."/>
        <w:lvlJc w:val="left"/>
        <w:pPr>
          <w:ind w:left="2533" w:hanging="1224"/>
        </w:pPr>
        <w:rPr>
          <w:rFonts w:hint="default"/>
        </w:rPr>
      </w:lvl>
    </w:lvlOverride>
    <w:lvlOverride w:ilvl="8">
      <w:lvl w:ilvl="8">
        <w:start w:val="1"/>
        <w:numFmt w:val="decimal"/>
        <w:pStyle w:val="Titre9"/>
        <w:lvlText w:val="%1.%2.%3.%4.%5.%6.%7.%8.%9."/>
        <w:lvlJc w:val="left"/>
        <w:pPr>
          <w:ind w:left="3109" w:hanging="1440"/>
        </w:pPr>
        <w:rPr>
          <w:rFonts w:hint="default"/>
        </w:rPr>
      </w:lvl>
    </w:lvlOverride>
  </w:num>
  <w:num w:numId="2" w16cid:durableId="689910675">
    <w:abstractNumId w:val="4"/>
  </w:num>
  <w:num w:numId="3" w16cid:durableId="737827658">
    <w:abstractNumId w:val="16"/>
  </w:num>
  <w:num w:numId="4" w16cid:durableId="1944992478">
    <w:abstractNumId w:val="12"/>
  </w:num>
  <w:num w:numId="5" w16cid:durableId="1254389541">
    <w:abstractNumId w:val="13"/>
  </w:num>
  <w:num w:numId="6" w16cid:durableId="1902133628">
    <w:abstractNumId w:val="1"/>
  </w:num>
  <w:num w:numId="7" w16cid:durableId="1993680964">
    <w:abstractNumId w:val="11"/>
  </w:num>
  <w:num w:numId="8" w16cid:durableId="1230925028">
    <w:abstractNumId w:val="2"/>
  </w:num>
  <w:num w:numId="9" w16cid:durableId="711467310">
    <w:abstractNumId w:val="0"/>
  </w:num>
  <w:num w:numId="10" w16cid:durableId="1465656814">
    <w:abstractNumId w:val="5"/>
  </w:num>
  <w:num w:numId="11" w16cid:durableId="1938438904">
    <w:abstractNumId w:val="9"/>
  </w:num>
  <w:num w:numId="12" w16cid:durableId="1970285263">
    <w:abstractNumId w:val="14"/>
  </w:num>
  <w:num w:numId="13" w16cid:durableId="2086681119">
    <w:abstractNumId w:val="10"/>
  </w:num>
  <w:num w:numId="14" w16cid:durableId="1774589303">
    <w:abstractNumId w:val="7"/>
  </w:num>
  <w:num w:numId="15" w16cid:durableId="1471626603">
    <w:abstractNumId w:val="6"/>
  </w:num>
  <w:num w:numId="16" w16cid:durableId="770399272">
    <w:abstractNumId w:val="3"/>
    <w:lvlOverride w:ilvl="0">
      <w:lvl w:ilvl="0">
        <w:start w:val="1"/>
        <w:numFmt w:val="decimal"/>
        <w:lvlText w:val="%1."/>
        <w:lvlJc w:val="left"/>
        <w:pPr>
          <w:ind w:left="-851" w:hanging="360"/>
        </w:pPr>
        <w:rPr>
          <w:rFonts w:hint="default"/>
        </w:rPr>
      </w:lvl>
    </w:lvlOverride>
    <w:lvlOverride w:ilvl="1">
      <w:lvl w:ilvl="1">
        <w:start w:val="1"/>
        <w:numFmt w:val="decimal"/>
        <w:lvlText w:val="%1.%2."/>
        <w:lvlJc w:val="left"/>
        <w:pPr>
          <w:ind w:left="-419" w:firstLine="759"/>
        </w:pPr>
        <w:rPr>
          <w:rFonts w:hint="default"/>
        </w:rPr>
      </w:lvl>
    </w:lvlOverride>
    <w:lvlOverride w:ilvl="2">
      <w:lvl w:ilvl="2">
        <w:start w:val="1"/>
        <w:numFmt w:val="decimal"/>
        <w:lvlText w:val="%1.%2.%3."/>
        <w:lvlJc w:val="left"/>
        <w:pPr>
          <w:ind w:left="13" w:hanging="504"/>
        </w:pPr>
        <w:rPr>
          <w:rFonts w:hint="default"/>
        </w:rPr>
      </w:lvl>
    </w:lvlOverride>
    <w:lvlOverride w:ilvl="3">
      <w:lvl w:ilvl="3">
        <w:start w:val="1"/>
        <w:numFmt w:val="decimal"/>
        <w:pStyle w:val="Titre4"/>
        <w:lvlText w:val="%1.%2.%3.%4."/>
        <w:lvlJc w:val="left"/>
        <w:pPr>
          <w:ind w:left="517" w:hanging="648"/>
        </w:pPr>
        <w:rPr>
          <w:rFonts w:hint="default"/>
        </w:rPr>
      </w:lvl>
    </w:lvlOverride>
    <w:lvlOverride w:ilvl="4">
      <w:lvl w:ilvl="4">
        <w:start w:val="1"/>
        <w:numFmt w:val="decimal"/>
        <w:pStyle w:val="Titre5"/>
        <w:lvlText w:val="%1.%2.%3.%4.%5."/>
        <w:lvlJc w:val="left"/>
        <w:pPr>
          <w:ind w:left="1021" w:hanging="792"/>
        </w:pPr>
        <w:rPr>
          <w:rFonts w:hint="default"/>
        </w:rPr>
      </w:lvl>
    </w:lvlOverride>
    <w:lvlOverride w:ilvl="5">
      <w:lvl w:ilvl="5">
        <w:start w:val="1"/>
        <w:numFmt w:val="decimal"/>
        <w:pStyle w:val="Titre6"/>
        <w:lvlText w:val="%1.%2.%3.%4.%5.%6."/>
        <w:lvlJc w:val="left"/>
        <w:pPr>
          <w:ind w:left="1525" w:hanging="936"/>
        </w:pPr>
        <w:rPr>
          <w:rFonts w:hint="default"/>
        </w:rPr>
      </w:lvl>
    </w:lvlOverride>
    <w:lvlOverride w:ilvl="6">
      <w:lvl w:ilvl="6">
        <w:start w:val="1"/>
        <w:numFmt w:val="decimal"/>
        <w:pStyle w:val="Titre7"/>
        <w:lvlText w:val="%1.%2.%3.%4.%5.%6.%7."/>
        <w:lvlJc w:val="left"/>
        <w:pPr>
          <w:ind w:left="2029" w:hanging="1080"/>
        </w:pPr>
        <w:rPr>
          <w:rFonts w:hint="default"/>
        </w:rPr>
      </w:lvl>
    </w:lvlOverride>
    <w:lvlOverride w:ilvl="7">
      <w:lvl w:ilvl="7">
        <w:start w:val="1"/>
        <w:numFmt w:val="decimal"/>
        <w:pStyle w:val="Titre8"/>
        <w:lvlText w:val="%1.%2.%3.%4.%5.%6.%7.%8."/>
        <w:lvlJc w:val="left"/>
        <w:pPr>
          <w:ind w:left="2533" w:hanging="1224"/>
        </w:pPr>
        <w:rPr>
          <w:rFonts w:hint="default"/>
        </w:rPr>
      </w:lvl>
    </w:lvlOverride>
    <w:lvlOverride w:ilvl="8">
      <w:lvl w:ilvl="8">
        <w:start w:val="1"/>
        <w:numFmt w:val="decimal"/>
        <w:pStyle w:val="Titre9"/>
        <w:lvlText w:val="%1.%2.%3.%4.%5.%6.%7.%8.%9."/>
        <w:lvlJc w:val="left"/>
        <w:pPr>
          <w:ind w:left="3109" w:hanging="1440"/>
        </w:pPr>
        <w:rPr>
          <w:rFonts w:hint="default"/>
        </w:rPr>
      </w:lvl>
    </w:lvlOverride>
  </w:num>
  <w:num w:numId="17" w16cid:durableId="1185436581">
    <w:abstractNumId w:val="17"/>
  </w:num>
  <w:num w:numId="18" w16cid:durableId="61754358">
    <w:abstractNumId w:val="3"/>
    <w:lvlOverride w:ilvl="0">
      <w:lvl w:ilvl="0">
        <w:start w:val="1"/>
        <w:numFmt w:val="decimal"/>
        <w:lvlText w:val="%1."/>
        <w:lvlJc w:val="left"/>
        <w:pPr>
          <w:ind w:left="-851" w:hanging="360"/>
        </w:pPr>
        <w:rPr>
          <w:rFonts w:hint="default"/>
        </w:rPr>
      </w:lvl>
    </w:lvlOverride>
    <w:lvlOverride w:ilvl="1">
      <w:lvl w:ilvl="1">
        <w:start w:val="1"/>
        <w:numFmt w:val="decimal"/>
        <w:lvlText w:val="%1.%2."/>
        <w:lvlJc w:val="left"/>
        <w:pPr>
          <w:ind w:left="-419" w:firstLine="759"/>
        </w:pPr>
        <w:rPr>
          <w:rFonts w:hint="default"/>
        </w:rPr>
      </w:lvl>
    </w:lvlOverride>
    <w:lvlOverride w:ilvl="2">
      <w:lvl w:ilvl="2">
        <w:start w:val="1"/>
        <w:numFmt w:val="decimal"/>
        <w:lvlText w:val="%1.%2.%3."/>
        <w:lvlJc w:val="left"/>
        <w:pPr>
          <w:ind w:left="13" w:hanging="504"/>
        </w:pPr>
        <w:rPr>
          <w:rFonts w:hint="default"/>
        </w:rPr>
      </w:lvl>
    </w:lvlOverride>
    <w:lvlOverride w:ilvl="3">
      <w:lvl w:ilvl="3">
        <w:start w:val="1"/>
        <w:numFmt w:val="decimal"/>
        <w:pStyle w:val="Titre4"/>
        <w:lvlText w:val="%1.%2.%3.%4."/>
        <w:lvlJc w:val="left"/>
        <w:pPr>
          <w:ind w:left="517" w:hanging="648"/>
        </w:pPr>
        <w:rPr>
          <w:rFonts w:hint="default"/>
        </w:rPr>
      </w:lvl>
    </w:lvlOverride>
    <w:lvlOverride w:ilvl="4">
      <w:lvl w:ilvl="4">
        <w:start w:val="1"/>
        <w:numFmt w:val="decimal"/>
        <w:pStyle w:val="Titre5"/>
        <w:lvlText w:val="%1.%2.%3.%4.%5."/>
        <w:lvlJc w:val="left"/>
        <w:pPr>
          <w:ind w:left="1021" w:hanging="792"/>
        </w:pPr>
        <w:rPr>
          <w:rFonts w:hint="default"/>
        </w:rPr>
      </w:lvl>
    </w:lvlOverride>
    <w:lvlOverride w:ilvl="5">
      <w:lvl w:ilvl="5">
        <w:start w:val="1"/>
        <w:numFmt w:val="decimal"/>
        <w:pStyle w:val="Titre6"/>
        <w:lvlText w:val="%1.%2.%3.%4.%5.%6."/>
        <w:lvlJc w:val="left"/>
        <w:pPr>
          <w:ind w:left="1525" w:hanging="936"/>
        </w:pPr>
        <w:rPr>
          <w:rFonts w:hint="default"/>
        </w:rPr>
      </w:lvl>
    </w:lvlOverride>
    <w:lvlOverride w:ilvl="6">
      <w:lvl w:ilvl="6">
        <w:start w:val="1"/>
        <w:numFmt w:val="decimal"/>
        <w:pStyle w:val="Titre7"/>
        <w:lvlText w:val="%1.%2.%3.%4.%5.%6.%7."/>
        <w:lvlJc w:val="left"/>
        <w:pPr>
          <w:ind w:left="2029" w:hanging="1080"/>
        </w:pPr>
        <w:rPr>
          <w:rFonts w:hint="default"/>
        </w:rPr>
      </w:lvl>
    </w:lvlOverride>
    <w:lvlOverride w:ilvl="7">
      <w:lvl w:ilvl="7">
        <w:start w:val="1"/>
        <w:numFmt w:val="decimal"/>
        <w:pStyle w:val="Titre8"/>
        <w:lvlText w:val="%1.%2.%3.%4.%5.%6.%7.%8."/>
        <w:lvlJc w:val="left"/>
        <w:pPr>
          <w:ind w:left="2533" w:hanging="1224"/>
        </w:pPr>
        <w:rPr>
          <w:rFonts w:hint="default"/>
        </w:rPr>
      </w:lvl>
    </w:lvlOverride>
    <w:lvlOverride w:ilvl="8">
      <w:lvl w:ilvl="8">
        <w:start w:val="1"/>
        <w:numFmt w:val="decimal"/>
        <w:pStyle w:val="Titre9"/>
        <w:lvlText w:val="%1.%2.%3.%4.%5.%6.%7.%8.%9."/>
        <w:lvlJc w:val="left"/>
        <w:pPr>
          <w:ind w:left="3109" w:hanging="1440"/>
        </w:pPr>
        <w:rPr>
          <w:rFonts w:hint="default"/>
        </w:rPr>
      </w:lvl>
    </w:lvlOverride>
  </w:num>
  <w:num w:numId="19" w16cid:durableId="34013260">
    <w:abstractNumId w:val="3"/>
    <w:lvlOverride w:ilvl="0">
      <w:lvl w:ilvl="0">
        <w:start w:val="1"/>
        <w:numFmt w:val="decimal"/>
        <w:lvlText w:val="%1."/>
        <w:lvlJc w:val="left"/>
        <w:pPr>
          <w:ind w:left="-851" w:hanging="360"/>
        </w:pPr>
        <w:rPr>
          <w:rFonts w:hint="default"/>
        </w:rPr>
      </w:lvl>
    </w:lvlOverride>
    <w:lvlOverride w:ilvl="1">
      <w:lvl w:ilvl="1">
        <w:start w:val="1"/>
        <w:numFmt w:val="decimal"/>
        <w:lvlText w:val="%1.%2."/>
        <w:lvlJc w:val="left"/>
        <w:pPr>
          <w:ind w:left="-419" w:firstLine="759"/>
        </w:pPr>
        <w:rPr>
          <w:rFonts w:hint="default"/>
        </w:rPr>
      </w:lvl>
    </w:lvlOverride>
    <w:lvlOverride w:ilvl="2">
      <w:lvl w:ilvl="2">
        <w:start w:val="1"/>
        <w:numFmt w:val="decimal"/>
        <w:lvlText w:val="%1.%2.%3."/>
        <w:lvlJc w:val="left"/>
        <w:pPr>
          <w:ind w:left="13" w:hanging="504"/>
        </w:pPr>
        <w:rPr>
          <w:rFonts w:hint="default"/>
        </w:rPr>
      </w:lvl>
    </w:lvlOverride>
    <w:lvlOverride w:ilvl="3">
      <w:lvl w:ilvl="3">
        <w:start w:val="1"/>
        <w:numFmt w:val="decimal"/>
        <w:pStyle w:val="Titre4"/>
        <w:lvlText w:val="%1.%2.%3.%4."/>
        <w:lvlJc w:val="left"/>
        <w:pPr>
          <w:ind w:left="517" w:hanging="648"/>
        </w:pPr>
        <w:rPr>
          <w:rFonts w:hint="default"/>
        </w:rPr>
      </w:lvl>
    </w:lvlOverride>
    <w:lvlOverride w:ilvl="4">
      <w:lvl w:ilvl="4">
        <w:start w:val="1"/>
        <w:numFmt w:val="decimal"/>
        <w:pStyle w:val="Titre5"/>
        <w:lvlText w:val="%1.%2.%3.%4.%5."/>
        <w:lvlJc w:val="left"/>
        <w:pPr>
          <w:ind w:left="1021" w:hanging="792"/>
        </w:pPr>
        <w:rPr>
          <w:rFonts w:hint="default"/>
        </w:rPr>
      </w:lvl>
    </w:lvlOverride>
    <w:lvlOverride w:ilvl="5">
      <w:lvl w:ilvl="5">
        <w:start w:val="1"/>
        <w:numFmt w:val="decimal"/>
        <w:pStyle w:val="Titre6"/>
        <w:lvlText w:val="%1.%2.%3.%4.%5.%6."/>
        <w:lvlJc w:val="left"/>
        <w:pPr>
          <w:ind w:left="1525" w:hanging="936"/>
        </w:pPr>
        <w:rPr>
          <w:rFonts w:hint="default"/>
        </w:rPr>
      </w:lvl>
    </w:lvlOverride>
    <w:lvlOverride w:ilvl="6">
      <w:lvl w:ilvl="6">
        <w:start w:val="1"/>
        <w:numFmt w:val="decimal"/>
        <w:pStyle w:val="Titre7"/>
        <w:lvlText w:val="%1.%2.%3.%4.%5.%6.%7."/>
        <w:lvlJc w:val="left"/>
        <w:pPr>
          <w:ind w:left="2029" w:hanging="1080"/>
        </w:pPr>
        <w:rPr>
          <w:rFonts w:hint="default"/>
        </w:rPr>
      </w:lvl>
    </w:lvlOverride>
    <w:lvlOverride w:ilvl="7">
      <w:lvl w:ilvl="7">
        <w:start w:val="1"/>
        <w:numFmt w:val="decimal"/>
        <w:pStyle w:val="Titre8"/>
        <w:lvlText w:val="%1.%2.%3.%4.%5.%6.%7.%8."/>
        <w:lvlJc w:val="left"/>
        <w:pPr>
          <w:ind w:left="2533" w:hanging="1224"/>
        </w:pPr>
        <w:rPr>
          <w:rFonts w:hint="default"/>
        </w:rPr>
      </w:lvl>
    </w:lvlOverride>
    <w:lvlOverride w:ilvl="8">
      <w:lvl w:ilvl="8">
        <w:start w:val="1"/>
        <w:numFmt w:val="decimal"/>
        <w:pStyle w:val="Titre9"/>
        <w:lvlText w:val="%1.%2.%3.%4.%5.%6.%7.%8.%9."/>
        <w:lvlJc w:val="left"/>
        <w:pPr>
          <w:ind w:left="3109" w:hanging="1440"/>
        </w:pPr>
        <w:rPr>
          <w:rFonts w:hint="default"/>
        </w:rPr>
      </w:lvl>
    </w:lvlOverride>
  </w:num>
  <w:num w:numId="20" w16cid:durableId="1252354814">
    <w:abstractNumId w:val="3"/>
    <w:lvlOverride w:ilvl="0">
      <w:lvl w:ilvl="0">
        <w:start w:val="1"/>
        <w:numFmt w:val="decimal"/>
        <w:lvlText w:val="%1."/>
        <w:lvlJc w:val="left"/>
        <w:pPr>
          <w:ind w:left="-851" w:hanging="360"/>
        </w:pPr>
        <w:rPr>
          <w:rFonts w:hint="default"/>
        </w:rPr>
      </w:lvl>
    </w:lvlOverride>
    <w:lvlOverride w:ilvl="1">
      <w:lvl w:ilvl="1">
        <w:start w:val="1"/>
        <w:numFmt w:val="decimal"/>
        <w:lvlText w:val="%1.%2."/>
        <w:lvlJc w:val="left"/>
        <w:pPr>
          <w:ind w:left="-419" w:firstLine="759"/>
        </w:pPr>
        <w:rPr>
          <w:rFonts w:hint="default"/>
        </w:rPr>
      </w:lvl>
    </w:lvlOverride>
    <w:lvlOverride w:ilvl="2">
      <w:lvl w:ilvl="2">
        <w:start w:val="1"/>
        <w:numFmt w:val="decimal"/>
        <w:lvlText w:val="%1.%2.%3."/>
        <w:lvlJc w:val="left"/>
        <w:pPr>
          <w:ind w:left="13" w:hanging="504"/>
        </w:pPr>
        <w:rPr>
          <w:rFonts w:hint="default"/>
        </w:rPr>
      </w:lvl>
    </w:lvlOverride>
    <w:lvlOverride w:ilvl="3">
      <w:lvl w:ilvl="3">
        <w:start w:val="1"/>
        <w:numFmt w:val="decimal"/>
        <w:pStyle w:val="Titre4"/>
        <w:lvlText w:val="%1.%2.%3.%4."/>
        <w:lvlJc w:val="left"/>
        <w:pPr>
          <w:ind w:left="517" w:hanging="648"/>
        </w:pPr>
        <w:rPr>
          <w:rFonts w:hint="default"/>
        </w:rPr>
      </w:lvl>
    </w:lvlOverride>
    <w:lvlOverride w:ilvl="4">
      <w:lvl w:ilvl="4">
        <w:start w:val="1"/>
        <w:numFmt w:val="decimal"/>
        <w:pStyle w:val="Titre5"/>
        <w:lvlText w:val="%1.%2.%3.%4.%5."/>
        <w:lvlJc w:val="left"/>
        <w:pPr>
          <w:ind w:left="1021" w:hanging="792"/>
        </w:pPr>
        <w:rPr>
          <w:rFonts w:hint="default"/>
        </w:rPr>
      </w:lvl>
    </w:lvlOverride>
    <w:lvlOverride w:ilvl="5">
      <w:lvl w:ilvl="5">
        <w:start w:val="1"/>
        <w:numFmt w:val="decimal"/>
        <w:pStyle w:val="Titre6"/>
        <w:lvlText w:val="%1.%2.%3.%4.%5.%6."/>
        <w:lvlJc w:val="left"/>
        <w:pPr>
          <w:ind w:left="1525" w:hanging="936"/>
        </w:pPr>
        <w:rPr>
          <w:rFonts w:hint="default"/>
        </w:rPr>
      </w:lvl>
    </w:lvlOverride>
    <w:lvlOverride w:ilvl="6">
      <w:lvl w:ilvl="6">
        <w:start w:val="1"/>
        <w:numFmt w:val="decimal"/>
        <w:pStyle w:val="Titre7"/>
        <w:lvlText w:val="%1.%2.%3.%4.%5.%6.%7."/>
        <w:lvlJc w:val="left"/>
        <w:pPr>
          <w:ind w:left="2029" w:hanging="1080"/>
        </w:pPr>
        <w:rPr>
          <w:rFonts w:hint="default"/>
        </w:rPr>
      </w:lvl>
    </w:lvlOverride>
    <w:lvlOverride w:ilvl="7">
      <w:lvl w:ilvl="7">
        <w:start w:val="1"/>
        <w:numFmt w:val="decimal"/>
        <w:pStyle w:val="Titre8"/>
        <w:lvlText w:val="%1.%2.%3.%4.%5.%6.%7.%8."/>
        <w:lvlJc w:val="left"/>
        <w:pPr>
          <w:ind w:left="2533" w:hanging="1224"/>
        </w:pPr>
        <w:rPr>
          <w:rFonts w:hint="default"/>
        </w:rPr>
      </w:lvl>
    </w:lvlOverride>
    <w:lvlOverride w:ilvl="8">
      <w:lvl w:ilvl="8">
        <w:start w:val="1"/>
        <w:numFmt w:val="decimal"/>
        <w:pStyle w:val="Titre9"/>
        <w:lvlText w:val="%1.%2.%3.%4.%5.%6.%7.%8.%9."/>
        <w:lvlJc w:val="left"/>
        <w:pPr>
          <w:ind w:left="3109" w:hanging="1440"/>
        </w:pPr>
        <w:rPr>
          <w:rFonts w:hint="default"/>
        </w:rPr>
      </w:lvl>
    </w:lvlOverride>
  </w:num>
  <w:num w:numId="21" w16cid:durableId="386342078">
    <w:abstractNumId w:val="3"/>
    <w:lvlOverride w:ilvl="0">
      <w:lvl w:ilvl="0">
        <w:start w:val="1"/>
        <w:numFmt w:val="decimal"/>
        <w:lvlText w:val="%1."/>
        <w:lvlJc w:val="left"/>
        <w:pPr>
          <w:ind w:left="-851" w:hanging="360"/>
        </w:pPr>
        <w:rPr>
          <w:rFonts w:hint="default"/>
        </w:rPr>
      </w:lvl>
    </w:lvlOverride>
    <w:lvlOverride w:ilvl="1">
      <w:lvl w:ilvl="1">
        <w:start w:val="1"/>
        <w:numFmt w:val="decimal"/>
        <w:lvlText w:val="%1.%2."/>
        <w:lvlJc w:val="left"/>
        <w:pPr>
          <w:ind w:left="-419" w:firstLine="759"/>
        </w:pPr>
        <w:rPr>
          <w:rFonts w:hint="default"/>
        </w:rPr>
      </w:lvl>
    </w:lvlOverride>
    <w:lvlOverride w:ilvl="2">
      <w:lvl w:ilvl="2">
        <w:start w:val="1"/>
        <w:numFmt w:val="decimal"/>
        <w:lvlText w:val="%1.%2.%3."/>
        <w:lvlJc w:val="left"/>
        <w:pPr>
          <w:ind w:left="13" w:hanging="504"/>
        </w:pPr>
        <w:rPr>
          <w:rFonts w:hint="default"/>
        </w:rPr>
      </w:lvl>
    </w:lvlOverride>
    <w:lvlOverride w:ilvl="3">
      <w:lvl w:ilvl="3">
        <w:start w:val="1"/>
        <w:numFmt w:val="decimal"/>
        <w:pStyle w:val="Titre4"/>
        <w:lvlText w:val="%1.%2.%3.%4."/>
        <w:lvlJc w:val="left"/>
        <w:pPr>
          <w:ind w:left="517" w:hanging="648"/>
        </w:pPr>
        <w:rPr>
          <w:rFonts w:hint="default"/>
        </w:rPr>
      </w:lvl>
    </w:lvlOverride>
    <w:lvlOverride w:ilvl="4">
      <w:lvl w:ilvl="4">
        <w:start w:val="1"/>
        <w:numFmt w:val="decimal"/>
        <w:pStyle w:val="Titre5"/>
        <w:lvlText w:val="%1.%2.%3.%4.%5."/>
        <w:lvlJc w:val="left"/>
        <w:pPr>
          <w:ind w:left="1021" w:hanging="792"/>
        </w:pPr>
        <w:rPr>
          <w:rFonts w:hint="default"/>
        </w:rPr>
      </w:lvl>
    </w:lvlOverride>
    <w:lvlOverride w:ilvl="5">
      <w:lvl w:ilvl="5">
        <w:start w:val="1"/>
        <w:numFmt w:val="decimal"/>
        <w:pStyle w:val="Titre6"/>
        <w:lvlText w:val="%1.%2.%3.%4.%5.%6."/>
        <w:lvlJc w:val="left"/>
        <w:pPr>
          <w:ind w:left="1525" w:hanging="936"/>
        </w:pPr>
        <w:rPr>
          <w:rFonts w:hint="default"/>
        </w:rPr>
      </w:lvl>
    </w:lvlOverride>
    <w:lvlOverride w:ilvl="6">
      <w:lvl w:ilvl="6">
        <w:start w:val="1"/>
        <w:numFmt w:val="decimal"/>
        <w:pStyle w:val="Titre7"/>
        <w:lvlText w:val="%1.%2.%3.%4.%5.%6.%7."/>
        <w:lvlJc w:val="left"/>
        <w:pPr>
          <w:ind w:left="2029" w:hanging="1080"/>
        </w:pPr>
        <w:rPr>
          <w:rFonts w:hint="default"/>
        </w:rPr>
      </w:lvl>
    </w:lvlOverride>
    <w:lvlOverride w:ilvl="7">
      <w:lvl w:ilvl="7">
        <w:start w:val="1"/>
        <w:numFmt w:val="decimal"/>
        <w:pStyle w:val="Titre8"/>
        <w:lvlText w:val="%1.%2.%3.%4.%5.%6.%7.%8."/>
        <w:lvlJc w:val="left"/>
        <w:pPr>
          <w:ind w:left="2533" w:hanging="1224"/>
        </w:pPr>
        <w:rPr>
          <w:rFonts w:hint="default"/>
        </w:rPr>
      </w:lvl>
    </w:lvlOverride>
    <w:lvlOverride w:ilvl="8">
      <w:lvl w:ilvl="8">
        <w:start w:val="1"/>
        <w:numFmt w:val="decimal"/>
        <w:pStyle w:val="Titre9"/>
        <w:lvlText w:val="%1.%2.%3.%4.%5.%6.%7.%8.%9."/>
        <w:lvlJc w:val="left"/>
        <w:pPr>
          <w:ind w:left="3109" w:hanging="1440"/>
        </w:pPr>
        <w:rPr>
          <w:rFonts w:hint="default"/>
        </w:rPr>
      </w:lvl>
    </w:lvlOverride>
  </w:num>
  <w:num w:numId="22" w16cid:durableId="775910703">
    <w:abstractNumId w:val="3"/>
    <w:lvlOverride w:ilvl="0">
      <w:lvl w:ilvl="0">
        <w:start w:val="1"/>
        <w:numFmt w:val="decimal"/>
        <w:lvlText w:val="%1."/>
        <w:lvlJc w:val="left"/>
        <w:pPr>
          <w:ind w:left="-851" w:hanging="360"/>
        </w:pPr>
        <w:rPr>
          <w:rFonts w:hint="default"/>
        </w:rPr>
      </w:lvl>
    </w:lvlOverride>
    <w:lvlOverride w:ilvl="1">
      <w:lvl w:ilvl="1">
        <w:start w:val="1"/>
        <w:numFmt w:val="decimal"/>
        <w:lvlText w:val="%1.%2."/>
        <w:lvlJc w:val="left"/>
        <w:pPr>
          <w:ind w:left="-419" w:firstLine="759"/>
        </w:pPr>
        <w:rPr>
          <w:rFonts w:hint="default"/>
        </w:rPr>
      </w:lvl>
    </w:lvlOverride>
    <w:lvlOverride w:ilvl="2">
      <w:lvl w:ilvl="2">
        <w:start w:val="1"/>
        <w:numFmt w:val="decimal"/>
        <w:lvlText w:val="%1.%2.%3."/>
        <w:lvlJc w:val="left"/>
        <w:pPr>
          <w:ind w:left="13" w:hanging="504"/>
        </w:pPr>
        <w:rPr>
          <w:rFonts w:hint="default"/>
        </w:rPr>
      </w:lvl>
    </w:lvlOverride>
    <w:lvlOverride w:ilvl="3">
      <w:lvl w:ilvl="3">
        <w:start w:val="1"/>
        <w:numFmt w:val="decimal"/>
        <w:pStyle w:val="Titre4"/>
        <w:lvlText w:val="%1.%2.%3.%4."/>
        <w:lvlJc w:val="left"/>
        <w:pPr>
          <w:ind w:left="517" w:hanging="648"/>
        </w:pPr>
        <w:rPr>
          <w:rFonts w:hint="default"/>
        </w:rPr>
      </w:lvl>
    </w:lvlOverride>
    <w:lvlOverride w:ilvl="4">
      <w:lvl w:ilvl="4">
        <w:start w:val="1"/>
        <w:numFmt w:val="decimal"/>
        <w:pStyle w:val="Titre5"/>
        <w:lvlText w:val="%1.%2.%3.%4.%5."/>
        <w:lvlJc w:val="left"/>
        <w:pPr>
          <w:ind w:left="1021" w:hanging="792"/>
        </w:pPr>
        <w:rPr>
          <w:rFonts w:hint="default"/>
        </w:rPr>
      </w:lvl>
    </w:lvlOverride>
    <w:lvlOverride w:ilvl="5">
      <w:lvl w:ilvl="5">
        <w:start w:val="1"/>
        <w:numFmt w:val="decimal"/>
        <w:pStyle w:val="Titre6"/>
        <w:lvlText w:val="%1.%2.%3.%4.%5.%6."/>
        <w:lvlJc w:val="left"/>
        <w:pPr>
          <w:ind w:left="1525" w:hanging="936"/>
        </w:pPr>
        <w:rPr>
          <w:rFonts w:hint="default"/>
        </w:rPr>
      </w:lvl>
    </w:lvlOverride>
    <w:lvlOverride w:ilvl="6">
      <w:lvl w:ilvl="6">
        <w:start w:val="1"/>
        <w:numFmt w:val="decimal"/>
        <w:pStyle w:val="Titre7"/>
        <w:lvlText w:val="%1.%2.%3.%4.%5.%6.%7."/>
        <w:lvlJc w:val="left"/>
        <w:pPr>
          <w:ind w:left="2029" w:hanging="1080"/>
        </w:pPr>
        <w:rPr>
          <w:rFonts w:hint="default"/>
        </w:rPr>
      </w:lvl>
    </w:lvlOverride>
    <w:lvlOverride w:ilvl="7">
      <w:lvl w:ilvl="7">
        <w:start w:val="1"/>
        <w:numFmt w:val="decimal"/>
        <w:pStyle w:val="Titre8"/>
        <w:lvlText w:val="%1.%2.%3.%4.%5.%6.%7.%8."/>
        <w:lvlJc w:val="left"/>
        <w:pPr>
          <w:ind w:left="2533" w:hanging="1224"/>
        </w:pPr>
        <w:rPr>
          <w:rFonts w:hint="default"/>
        </w:rPr>
      </w:lvl>
    </w:lvlOverride>
    <w:lvlOverride w:ilvl="8">
      <w:lvl w:ilvl="8">
        <w:start w:val="1"/>
        <w:numFmt w:val="decimal"/>
        <w:pStyle w:val="Titre9"/>
        <w:lvlText w:val="%1.%2.%3.%4.%5.%6.%7.%8.%9."/>
        <w:lvlJc w:val="left"/>
        <w:pPr>
          <w:ind w:left="3109" w:hanging="1440"/>
        </w:pPr>
        <w:rPr>
          <w:rFonts w:hint="default"/>
        </w:rPr>
      </w:lvl>
    </w:lvlOverride>
  </w:num>
  <w:num w:numId="23" w16cid:durableId="1062173861">
    <w:abstractNumId w:val="3"/>
    <w:lvlOverride w:ilvl="0">
      <w:lvl w:ilvl="0">
        <w:start w:val="1"/>
        <w:numFmt w:val="decimal"/>
        <w:lvlText w:val="%1."/>
        <w:lvlJc w:val="left"/>
        <w:pPr>
          <w:ind w:left="-851" w:hanging="360"/>
        </w:pPr>
        <w:rPr>
          <w:rFonts w:hint="default"/>
        </w:rPr>
      </w:lvl>
    </w:lvlOverride>
    <w:lvlOverride w:ilvl="1">
      <w:lvl w:ilvl="1">
        <w:start w:val="1"/>
        <w:numFmt w:val="decimal"/>
        <w:lvlText w:val="%1.%2."/>
        <w:lvlJc w:val="left"/>
        <w:pPr>
          <w:ind w:left="-419" w:firstLine="759"/>
        </w:pPr>
        <w:rPr>
          <w:rFonts w:hint="default"/>
        </w:rPr>
      </w:lvl>
    </w:lvlOverride>
    <w:lvlOverride w:ilvl="2">
      <w:lvl w:ilvl="2">
        <w:start w:val="1"/>
        <w:numFmt w:val="decimal"/>
        <w:lvlText w:val="%1.%2.%3."/>
        <w:lvlJc w:val="left"/>
        <w:pPr>
          <w:ind w:left="13" w:hanging="504"/>
        </w:pPr>
        <w:rPr>
          <w:rFonts w:hint="default"/>
        </w:rPr>
      </w:lvl>
    </w:lvlOverride>
    <w:lvlOverride w:ilvl="3">
      <w:lvl w:ilvl="3">
        <w:start w:val="1"/>
        <w:numFmt w:val="decimal"/>
        <w:pStyle w:val="Titre4"/>
        <w:lvlText w:val="%1.%2.%3.%4."/>
        <w:lvlJc w:val="left"/>
        <w:pPr>
          <w:ind w:left="517" w:hanging="648"/>
        </w:pPr>
        <w:rPr>
          <w:rFonts w:hint="default"/>
        </w:rPr>
      </w:lvl>
    </w:lvlOverride>
    <w:lvlOverride w:ilvl="4">
      <w:lvl w:ilvl="4">
        <w:start w:val="1"/>
        <w:numFmt w:val="decimal"/>
        <w:pStyle w:val="Titre5"/>
        <w:lvlText w:val="%1.%2.%3.%4.%5."/>
        <w:lvlJc w:val="left"/>
        <w:pPr>
          <w:ind w:left="1021" w:hanging="792"/>
        </w:pPr>
        <w:rPr>
          <w:rFonts w:hint="default"/>
        </w:rPr>
      </w:lvl>
    </w:lvlOverride>
    <w:lvlOverride w:ilvl="5">
      <w:lvl w:ilvl="5">
        <w:start w:val="1"/>
        <w:numFmt w:val="decimal"/>
        <w:pStyle w:val="Titre6"/>
        <w:lvlText w:val="%1.%2.%3.%4.%5.%6."/>
        <w:lvlJc w:val="left"/>
        <w:pPr>
          <w:ind w:left="1525" w:hanging="936"/>
        </w:pPr>
        <w:rPr>
          <w:rFonts w:hint="default"/>
        </w:rPr>
      </w:lvl>
    </w:lvlOverride>
    <w:lvlOverride w:ilvl="6">
      <w:lvl w:ilvl="6">
        <w:start w:val="1"/>
        <w:numFmt w:val="decimal"/>
        <w:pStyle w:val="Titre7"/>
        <w:lvlText w:val="%1.%2.%3.%4.%5.%6.%7."/>
        <w:lvlJc w:val="left"/>
        <w:pPr>
          <w:ind w:left="2029" w:hanging="1080"/>
        </w:pPr>
        <w:rPr>
          <w:rFonts w:hint="default"/>
        </w:rPr>
      </w:lvl>
    </w:lvlOverride>
    <w:lvlOverride w:ilvl="7">
      <w:lvl w:ilvl="7">
        <w:start w:val="1"/>
        <w:numFmt w:val="decimal"/>
        <w:pStyle w:val="Titre8"/>
        <w:lvlText w:val="%1.%2.%3.%4.%5.%6.%7.%8."/>
        <w:lvlJc w:val="left"/>
        <w:pPr>
          <w:ind w:left="2533" w:hanging="1224"/>
        </w:pPr>
        <w:rPr>
          <w:rFonts w:hint="default"/>
        </w:rPr>
      </w:lvl>
    </w:lvlOverride>
    <w:lvlOverride w:ilvl="8">
      <w:lvl w:ilvl="8">
        <w:start w:val="1"/>
        <w:numFmt w:val="decimal"/>
        <w:pStyle w:val="Titre9"/>
        <w:lvlText w:val="%1.%2.%3.%4.%5.%6.%7.%8.%9."/>
        <w:lvlJc w:val="left"/>
        <w:pPr>
          <w:ind w:left="3109" w:hanging="1440"/>
        </w:pPr>
        <w:rPr>
          <w:rFonts w:hint="default"/>
        </w:rPr>
      </w:lvl>
    </w:lvlOverride>
  </w:num>
  <w:num w:numId="24" w16cid:durableId="864051288">
    <w:abstractNumId w:val="3"/>
    <w:lvlOverride w:ilvl="0">
      <w:lvl w:ilvl="0">
        <w:start w:val="1"/>
        <w:numFmt w:val="decimal"/>
        <w:lvlText w:val="%1."/>
        <w:lvlJc w:val="left"/>
        <w:pPr>
          <w:ind w:left="-851" w:hanging="360"/>
        </w:pPr>
        <w:rPr>
          <w:rFonts w:hint="default"/>
        </w:rPr>
      </w:lvl>
    </w:lvlOverride>
    <w:lvlOverride w:ilvl="1">
      <w:lvl w:ilvl="1">
        <w:start w:val="1"/>
        <w:numFmt w:val="decimal"/>
        <w:lvlText w:val="%1.%2."/>
        <w:lvlJc w:val="left"/>
        <w:pPr>
          <w:ind w:left="-419" w:firstLine="759"/>
        </w:pPr>
        <w:rPr>
          <w:rFonts w:hint="default"/>
        </w:rPr>
      </w:lvl>
    </w:lvlOverride>
    <w:lvlOverride w:ilvl="2">
      <w:lvl w:ilvl="2">
        <w:start w:val="1"/>
        <w:numFmt w:val="decimal"/>
        <w:lvlText w:val="%1.%2.%3."/>
        <w:lvlJc w:val="left"/>
        <w:pPr>
          <w:ind w:left="13" w:hanging="504"/>
        </w:pPr>
        <w:rPr>
          <w:rFonts w:hint="default"/>
        </w:rPr>
      </w:lvl>
    </w:lvlOverride>
    <w:lvlOverride w:ilvl="3">
      <w:lvl w:ilvl="3">
        <w:start w:val="1"/>
        <w:numFmt w:val="decimal"/>
        <w:pStyle w:val="Titre4"/>
        <w:lvlText w:val="%1.%2.%3.%4."/>
        <w:lvlJc w:val="left"/>
        <w:pPr>
          <w:ind w:left="517" w:hanging="648"/>
        </w:pPr>
        <w:rPr>
          <w:rFonts w:hint="default"/>
        </w:rPr>
      </w:lvl>
    </w:lvlOverride>
    <w:lvlOverride w:ilvl="4">
      <w:lvl w:ilvl="4">
        <w:start w:val="1"/>
        <w:numFmt w:val="decimal"/>
        <w:pStyle w:val="Titre5"/>
        <w:lvlText w:val="%1.%2.%3.%4.%5."/>
        <w:lvlJc w:val="left"/>
        <w:pPr>
          <w:ind w:left="1021" w:hanging="792"/>
        </w:pPr>
        <w:rPr>
          <w:rFonts w:hint="default"/>
        </w:rPr>
      </w:lvl>
    </w:lvlOverride>
    <w:lvlOverride w:ilvl="5">
      <w:lvl w:ilvl="5">
        <w:start w:val="1"/>
        <w:numFmt w:val="decimal"/>
        <w:pStyle w:val="Titre6"/>
        <w:lvlText w:val="%1.%2.%3.%4.%5.%6."/>
        <w:lvlJc w:val="left"/>
        <w:pPr>
          <w:ind w:left="1525" w:hanging="936"/>
        </w:pPr>
        <w:rPr>
          <w:rFonts w:hint="default"/>
        </w:rPr>
      </w:lvl>
    </w:lvlOverride>
    <w:lvlOverride w:ilvl="6">
      <w:lvl w:ilvl="6">
        <w:start w:val="1"/>
        <w:numFmt w:val="decimal"/>
        <w:pStyle w:val="Titre7"/>
        <w:lvlText w:val="%1.%2.%3.%4.%5.%6.%7."/>
        <w:lvlJc w:val="left"/>
        <w:pPr>
          <w:ind w:left="2029" w:hanging="1080"/>
        </w:pPr>
        <w:rPr>
          <w:rFonts w:hint="default"/>
        </w:rPr>
      </w:lvl>
    </w:lvlOverride>
    <w:lvlOverride w:ilvl="7">
      <w:lvl w:ilvl="7">
        <w:start w:val="1"/>
        <w:numFmt w:val="decimal"/>
        <w:pStyle w:val="Titre8"/>
        <w:lvlText w:val="%1.%2.%3.%4.%5.%6.%7.%8."/>
        <w:lvlJc w:val="left"/>
        <w:pPr>
          <w:ind w:left="2533" w:hanging="1224"/>
        </w:pPr>
        <w:rPr>
          <w:rFonts w:hint="default"/>
        </w:rPr>
      </w:lvl>
    </w:lvlOverride>
    <w:lvlOverride w:ilvl="8">
      <w:lvl w:ilvl="8">
        <w:start w:val="1"/>
        <w:numFmt w:val="decimal"/>
        <w:pStyle w:val="Titre9"/>
        <w:lvlText w:val="%1.%2.%3.%4.%5.%6.%7.%8.%9."/>
        <w:lvlJc w:val="left"/>
        <w:pPr>
          <w:ind w:left="3109" w:hanging="1440"/>
        </w:pPr>
        <w:rPr>
          <w:rFonts w:hint="default"/>
        </w:rPr>
      </w:lvl>
    </w:lvlOverride>
  </w:num>
  <w:num w:numId="25" w16cid:durableId="1312910008">
    <w:abstractNumId w:val="3"/>
    <w:lvlOverride w:ilvl="0">
      <w:lvl w:ilvl="0">
        <w:start w:val="1"/>
        <w:numFmt w:val="decimal"/>
        <w:lvlText w:val="%1."/>
        <w:lvlJc w:val="left"/>
        <w:pPr>
          <w:ind w:left="-851" w:hanging="360"/>
        </w:pPr>
        <w:rPr>
          <w:rFonts w:hint="default"/>
        </w:rPr>
      </w:lvl>
    </w:lvlOverride>
    <w:lvlOverride w:ilvl="1">
      <w:lvl w:ilvl="1">
        <w:start w:val="1"/>
        <w:numFmt w:val="decimal"/>
        <w:lvlText w:val="%1.%2."/>
        <w:lvlJc w:val="left"/>
        <w:pPr>
          <w:ind w:left="-419" w:firstLine="759"/>
        </w:pPr>
        <w:rPr>
          <w:rFonts w:hint="default"/>
        </w:rPr>
      </w:lvl>
    </w:lvlOverride>
    <w:lvlOverride w:ilvl="2">
      <w:lvl w:ilvl="2">
        <w:start w:val="1"/>
        <w:numFmt w:val="decimal"/>
        <w:lvlText w:val="%1.%2.%3."/>
        <w:lvlJc w:val="left"/>
        <w:pPr>
          <w:ind w:left="13" w:hanging="504"/>
        </w:pPr>
        <w:rPr>
          <w:rFonts w:hint="default"/>
        </w:rPr>
      </w:lvl>
    </w:lvlOverride>
    <w:lvlOverride w:ilvl="3">
      <w:lvl w:ilvl="3">
        <w:start w:val="1"/>
        <w:numFmt w:val="decimal"/>
        <w:pStyle w:val="Titre4"/>
        <w:lvlText w:val="%1.%2.%3.%4."/>
        <w:lvlJc w:val="left"/>
        <w:pPr>
          <w:ind w:left="517" w:hanging="648"/>
        </w:pPr>
        <w:rPr>
          <w:rFonts w:hint="default"/>
        </w:rPr>
      </w:lvl>
    </w:lvlOverride>
    <w:lvlOverride w:ilvl="4">
      <w:lvl w:ilvl="4">
        <w:start w:val="1"/>
        <w:numFmt w:val="decimal"/>
        <w:pStyle w:val="Titre5"/>
        <w:lvlText w:val="%1.%2.%3.%4.%5."/>
        <w:lvlJc w:val="left"/>
        <w:pPr>
          <w:ind w:left="1021" w:hanging="792"/>
        </w:pPr>
        <w:rPr>
          <w:rFonts w:hint="default"/>
        </w:rPr>
      </w:lvl>
    </w:lvlOverride>
    <w:lvlOverride w:ilvl="5">
      <w:lvl w:ilvl="5">
        <w:start w:val="1"/>
        <w:numFmt w:val="decimal"/>
        <w:pStyle w:val="Titre6"/>
        <w:lvlText w:val="%1.%2.%3.%4.%5.%6."/>
        <w:lvlJc w:val="left"/>
        <w:pPr>
          <w:ind w:left="1525" w:hanging="936"/>
        </w:pPr>
        <w:rPr>
          <w:rFonts w:hint="default"/>
        </w:rPr>
      </w:lvl>
    </w:lvlOverride>
    <w:lvlOverride w:ilvl="6">
      <w:lvl w:ilvl="6">
        <w:start w:val="1"/>
        <w:numFmt w:val="decimal"/>
        <w:pStyle w:val="Titre7"/>
        <w:lvlText w:val="%1.%2.%3.%4.%5.%6.%7."/>
        <w:lvlJc w:val="left"/>
        <w:pPr>
          <w:ind w:left="2029" w:hanging="1080"/>
        </w:pPr>
        <w:rPr>
          <w:rFonts w:hint="default"/>
        </w:rPr>
      </w:lvl>
    </w:lvlOverride>
    <w:lvlOverride w:ilvl="7">
      <w:lvl w:ilvl="7">
        <w:start w:val="1"/>
        <w:numFmt w:val="decimal"/>
        <w:pStyle w:val="Titre8"/>
        <w:lvlText w:val="%1.%2.%3.%4.%5.%6.%7.%8."/>
        <w:lvlJc w:val="left"/>
        <w:pPr>
          <w:ind w:left="2533" w:hanging="1224"/>
        </w:pPr>
        <w:rPr>
          <w:rFonts w:hint="default"/>
        </w:rPr>
      </w:lvl>
    </w:lvlOverride>
    <w:lvlOverride w:ilvl="8">
      <w:lvl w:ilvl="8">
        <w:start w:val="1"/>
        <w:numFmt w:val="decimal"/>
        <w:pStyle w:val="Titre9"/>
        <w:lvlText w:val="%1.%2.%3.%4.%5.%6.%7.%8.%9."/>
        <w:lvlJc w:val="left"/>
        <w:pPr>
          <w:ind w:left="3109" w:hanging="1440"/>
        </w:pPr>
        <w:rPr>
          <w:rFonts w:hint="default"/>
        </w:rPr>
      </w:lvl>
    </w:lvlOverride>
  </w:num>
  <w:num w:numId="26" w16cid:durableId="863135877">
    <w:abstractNumId w:val="3"/>
    <w:lvlOverride w:ilvl="0">
      <w:lvl w:ilvl="0">
        <w:start w:val="1"/>
        <w:numFmt w:val="decimal"/>
        <w:lvlText w:val="%1."/>
        <w:lvlJc w:val="left"/>
        <w:pPr>
          <w:ind w:left="-851" w:hanging="360"/>
        </w:pPr>
        <w:rPr>
          <w:rFonts w:hint="default"/>
        </w:rPr>
      </w:lvl>
    </w:lvlOverride>
    <w:lvlOverride w:ilvl="1">
      <w:lvl w:ilvl="1">
        <w:start w:val="1"/>
        <w:numFmt w:val="decimal"/>
        <w:lvlText w:val="%1.%2."/>
        <w:lvlJc w:val="left"/>
        <w:pPr>
          <w:ind w:left="-419" w:firstLine="759"/>
        </w:pPr>
        <w:rPr>
          <w:rFonts w:hint="default"/>
        </w:rPr>
      </w:lvl>
    </w:lvlOverride>
    <w:lvlOverride w:ilvl="2">
      <w:lvl w:ilvl="2">
        <w:start w:val="1"/>
        <w:numFmt w:val="decimal"/>
        <w:lvlText w:val="%1.%2.%3."/>
        <w:lvlJc w:val="left"/>
        <w:pPr>
          <w:ind w:left="13" w:hanging="504"/>
        </w:pPr>
        <w:rPr>
          <w:rFonts w:hint="default"/>
        </w:rPr>
      </w:lvl>
    </w:lvlOverride>
    <w:lvlOverride w:ilvl="3">
      <w:lvl w:ilvl="3">
        <w:start w:val="1"/>
        <w:numFmt w:val="decimal"/>
        <w:pStyle w:val="Titre4"/>
        <w:lvlText w:val="%1.%2.%3.%4."/>
        <w:lvlJc w:val="left"/>
        <w:pPr>
          <w:ind w:left="517" w:hanging="648"/>
        </w:pPr>
        <w:rPr>
          <w:rFonts w:hint="default"/>
        </w:rPr>
      </w:lvl>
    </w:lvlOverride>
    <w:lvlOverride w:ilvl="4">
      <w:lvl w:ilvl="4">
        <w:start w:val="1"/>
        <w:numFmt w:val="decimal"/>
        <w:pStyle w:val="Titre5"/>
        <w:lvlText w:val="%1.%2.%3.%4.%5."/>
        <w:lvlJc w:val="left"/>
        <w:pPr>
          <w:ind w:left="1021" w:hanging="792"/>
        </w:pPr>
        <w:rPr>
          <w:rFonts w:hint="default"/>
        </w:rPr>
      </w:lvl>
    </w:lvlOverride>
    <w:lvlOverride w:ilvl="5">
      <w:lvl w:ilvl="5">
        <w:start w:val="1"/>
        <w:numFmt w:val="decimal"/>
        <w:pStyle w:val="Titre6"/>
        <w:lvlText w:val="%1.%2.%3.%4.%5.%6."/>
        <w:lvlJc w:val="left"/>
        <w:pPr>
          <w:ind w:left="1525" w:hanging="936"/>
        </w:pPr>
        <w:rPr>
          <w:rFonts w:hint="default"/>
        </w:rPr>
      </w:lvl>
    </w:lvlOverride>
    <w:lvlOverride w:ilvl="6">
      <w:lvl w:ilvl="6">
        <w:start w:val="1"/>
        <w:numFmt w:val="decimal"/>
        <w:pStyle w:val="Titre7"/>
        <w:lvlText w:val="%1.%2.%3.%4.%5.%6.%7."/>
        <w:lvlJc w:val="left"/>
        <w:pPr>
          <w:ind w:left="2029" w:hanging="1080"/>
        </w:pPr>
        <w:rPr>
          <w:rFonts w:hint="default"/>
        </w:rPr>
      </w:lvl>
    </w:lvlOverride>
    <w:lvlOverride w:ilvl="7">
      <w:lvl w:ilvl="7">
        <w:start w:val="1"/>
        <w:numFmt w:val="decimal"/>
        <w:pStyle w:val="Titre8"/>
        <w:lvlText w:val="%1.%2.%3.%4.%5.%6.%7.%8."/>
        <w:lvlJc w:val="left"/>
        <w:pPr>
          <w:ind w:left="2533" w:hanging="1224"/>
        </w:pPr>
        <w:rPr>
          <w:rFonts w:hint="default"/>
        </w:rPr>
      </w:lvl>
    </w:lvlOverride>
    <w:lvlOverride w:ilvl="8">
      <w:lvl w:ilvl="8">
        <w:start w:val="1"/>
        <w:numFmt w:val="decimal"/>
        <w:pStyle w:val="Titre9"/>
        <w:lvlText w:val="%1.%2.%3.%4.%5.%6.%7.%8.%9."/>
        <w:lvlJc w:val="left"/>
        <w:pPr>
          <w:ind w:left="3109" w:hanging="1440"/>
        </w:pPr>
        <w:rPr>
          <w:rFonts w:hint="default"/>
        </w:rPr>
      </w:lvl>
    </w:lvlOverride>
  </w:num>
  <w:num w:numId="27" w16cid:durableId="1124956539">
    <w:abstractNumId w:val="3"/>
    <w:lvlOverride w:ilvl="0">
      <w:lvl w:ilvl="0">
        <w:start w:val="1"/>
        <w:numFmt w:val="decimal"/>
        <w:lvlText w:val="%1."/>
        <w:lvlJc w:val="left"/>
        <w:pPr>
          <w:ind w:left="-851" w:hanging="360"/>
        </w:pPr>
        <w:rPr>
          <w:rFonts w:hint="default"/>
        </w:rPr>
      </w:lvl>
    </w:lvlOverride>
    <w:lvlOverride w:ilvl="1">
      <w:lvl w:ilvl="1">
        <w:start w:val="1"/>
        <w:numFmt w:val="decimal"/>
        <w:lvlText w:val="%1.%2."/>
        <w:lvlJc w:val="left"/>
        <w:pPr>
          <w:ind w:left="-419" w:firstLine="759"/>
        </w:pPr>
        <w:rPr>
          <w:rFonts w:hint="default"/>
        </w:rPr>
      </w:lvl>
    </w:lvlOverride>
    <w:lvlOverride w:ilvl="2">
      <w:lvl w:ilvl="2">
        <w:start w:val="1"/>
        <w:numFmt w:val="decimal"/>
        <w:lvlText w:val="%1.%2.%3."/>
        <w:lvlJc w:val="left"/>
        <w:pPr>
          <w:ind w:left="13" w:hanging="504"/>
        </w:pPr>
        <w:rPr>
          <w:rFonts w:hint="default"/>
        </w:rPr>
      </w:lvl>
    </w:lvlOverride>
    <w:lvlOverride w:ilvl="3">
      <w:lvl w:ilvl="3">
        <w:start w:val="1"/>
        <w:numFmt w:val="decimal"/>
        <w:pStyle w:val="Titre4"/>
        <w:lvlText w:val="%1.%2.%3.%4."/>
        <w:lvlJc w:val="left"/>
        <w:pPr>
          <w:ind w:left="517" w:hanging="648"/>
        </w:pPr>
        <w:rPr>
          <w:rFonts w:hint="default"/>
        </w:rPr>
      </w:lvl>
    </w:lvlOverride>
    <w:lvlOverride w:ilvl="4">
      <w:lvl w:ilvl="4">
        <w:start w:val="1"/>
        <w:numFmt w:val="decimal"/>
        <w:pStyle w:val="Titre5"/>
        <w:lvlText w:val="%1.%2.%3.%4.%5."/>
        <w:lvlJc w:val="left"/>
        <w:pPr>
          <w:ind w:left="1021" w:hanging="792"/>
        </w:pPr>
        <w:rPr>
          <w:rFonts w:hint="default"/>
        </w:rPr>
      </w:lvl>
    </w:lvlOverride>
    <w:lvlOverride w:ilvl="5">
      <w:lvl w:ilvl="5">
        <w:start w:val="1"/>
        <w:numFmt w:val="decimal"/>
        <w:pStyle w:val="Titre6"/>
        <w:lvlText w:val="%1.%2.%3.%4.%5.%6."/>
        <w:lvlJc w:val="left"/>
        <w:pPr>
          <w:ind w:left="1525" w:hanging="936"/>
        </w:pPr>
        <w:rPr>
          <w:rFonts w:hint="default"/>
        </w:rPr>
      </w:lvl>
    </w:lvlOverride>
    <w:lvlOverride w:ilvl="6">
      <w:lvl w:ilvl="6">
        <w:start w:val="1"/>
        <w:numFmt w:val="decimal"/>
        <w:pStyle w:val="Titre7"/>
        <w:lvlText w:val="%1.%2.%3.%4.%5.%6.%7."/>
        <w:lvlJc w:val="left"/>
        <w:pPr>
          <w:ind w:left="2029" w:hanging="1080"/>
        </w:pPr>
        <w:rPr>
          <w:rFonts w:hint="default"/>
        </w:rPr>
      </w:lvl>
    </w:lvlOverride>
    <w:lvlOverride w:ilvl="7">
      <w:lvl w:ilvl="7">
        <w:start w:val="1"/>
        <w:numFmt w:val="decimal"/>
        <w:pStyle w:val="Titre8"/>
        <w:lvlText w:val="%1.%2.%3.%4.%5.%6.%7.%8."/>
        <w:lvlJc w:val="left"/>
        <w:pPr>
          <w:ind w:left="2533" w:hanging="1224"/>
        </w:pPr>
        <w:rPr>
          <w:rFonts w:hint="default"/>
        </w:rPr>
      </w:lvl>
    </w:lvlOverride>
    <w:lvlOverride w:ilvl="8">
      <w:lvl w:ilvl="8">
        <w:start w:val="1"/>
        <w:numFmt w:val="decimal"/>
        <w:pStyle w:val="Titre9"/>
        <w:lvlText w:val="%1.%2.%3.%4.%5.%6.%7.%8.%9."/>
        <w:lvlJc w:val="left"/>
        <w:pPr>
          <w:ind w:left="3109" w:hanging="1440"/>
        </w:pPr>
        <w:rPr>
          <w:rFonts w:hint="default"/>
        </w:rPr>
      </w:lvl>
    </w:lvlOverride>
  </w:num>
  <w:num w:numId="28" w16cid:durableId="1920675768">
    <w:abstractNumId w:val="3"/>
    <w:lvlOverride w:ilvl="0">
      <w:lvl w:ilvl="0">
        <w:start w:val="1"/>
        <w:numFmt w:val="decimal"/>
        <w:lvlText w:val="%1."/>
        <w:lvlJc w:val="left"/>
        <w:pPr>
          <w:ind w:left="-851" w:hanging="360"/>
        </w:pPr>
        <w:rPr>
          <w:rFonts w:hint="default"/>
        </w:rPr>
      </w:lvl>
    </w:lvlOverride>
    <w:lvlOverride w:ilvl="1">
      <w:lvl w:ilvl="1">
        <w:start w:val="1"/>
        <w:numFmt w:val="decimal"/>
        <w:lvlText w:val="%1.%2."/>
        <w:lvlJc w:val="left"/>
        <w:pPr>
          <w:ind w:left="-419" w:firstLine="759"/>
        </w:pPr>
        <w:rPr>
          <w:rFonts w:hint="default"/>
        </w:rPr>
      </w:lvl>
    </w:lvlOverride>
    <w:lvlOverride w:ilvl="2">
      <w:lvl w:ilvl="2">
        <w:start w:val="1"/>
        <w:numFmt w:val="decimal"/>
        <w:lvlText w:val="%1.%2.%3."/>
        <w:lvlJc w:val="left"/>
        <w:pPr>
          <w:ind w:left="13" w:hanging="504"/>
        </w:pPr>
        <w:rPr>
          <w:rFonts w:hint="default"/>
        </w:rPr>
      </w:lvl>
    </w:lvlOverride>
    <w:lvlOverride w:ilvl="3">
      <w:lvl w:ilvl="3">
        <w:start w:val="1"/>
        <w:numFmt w:val="decimal"/>
        <w:pStyle w:val="Titre4"/>
        <w:lvlText w:val="%1.%2.%3.%4."/>
        <w:lvlJc w:val="left"/>
        <w:pPr>
          <w:ind w:left="517" w:hanging="648"/>
        </w:pPr>
        <w:rPr>
          <w:rFonts w:hint="default"/>
        </w:rPr>
      </w:lvl>
    </w:lvlOverride>
    <w:lvlOverride w:ilvl="4">
      <w:lvl w:ilvl="4">
        <w:start w:val="1"/>
        <w:numFmt w:val="decimal"/>
        <w:pStyle w:val="Titre5"/>
        <w:lvlText w:val="%1.%2.%3.%4.%5."/>
        <w:lvlJc w:val="left"/>
        <w:pPr>
          <w:ind w:left="1021" w:hanging="792"/>
        </w:pPr>
        <w:rPr>
          <w:rFonts w:hint="default"/>
        </w:rPr>
      </w:lvl>
    </w:lvlOverride>
    <w:lvlOverride w:ilvl="5">
      <w:lvl w:ilvl="5">
        <w:start w:val="1"/>
        <w:numFmt w:val="decimal"/>
        <w:pStyle w:val="Titre6"/>
        <w:lvlText w:val="%1.%2.%3.%4.%5.%6."/>
        <w:lvlJc w:val="left"/>
        <w:pPr>
          <w:ind w:left="1525" w:hanging="936"/>
        </w:pPr>
        <w:rPr>
          <w:rFonts w:hint="default"/>
        </w:rPr>
      </w:lvl>
    </w:lvlOverride>
    <w:lvlOverride w:ilvl="6">
      <w:lvl w:ilvl="6">
        <w:start w:val="1"/>
        <w:numFmt w:val="decimal"/>
        <w:pStyle w:val="Titre7"/>
        <w:lvlText w:val="%1.%2.%3.%4.%5.%6.%7."/>
        <w:lvlJc w:val="left"/>
        <w:pPr>
          <w:ind w:left="2029" w:hanging="1080"/>
        </w:pPr>
        <w:rPr>
          <w:rFonts w:hint="default"/>
        </w:rPr>
      </w:lvl>
    </w:lvlOverride>
    <w:lvlOverride w:ilvl="7">
      <w:lvl w:ilvl="7">
        <w:start w:val="1"/>
        <w:numFmt w:val="decimal"/>
        <w:pStyle w:val="Titre8"/>
        <w:lvlText w:val="%1.%2.%3.%4.%5.%6.%7.%8."/>
        <w:lvlJc w:val="left"/>
        <w:pPr>
          <w:ind w:left="2533" w:hanging="1224"/>
        </w:pPr>
        <w:rPr>
          <w:rFonts w:hint="default"/>
        </w:rPr>
      </w:lvl>
    </w:lvlOverride>
    <w:lvlOverride w:ilvl="8">
      <w:lvl w:ilvl="8">
        <w:start w:val="1"/>
        <w:numFmt w:val="decimal"/>
        <w:pStyle w:val="Titre9"/>
        <w:lvlText w:val="%1.%2.%3.%4.%5.%6.%7.%8.%9."/>
        <w:lvlJc w:val="left"/>
        <w:pPr>
          <w:ind w:left="3109" w:hanging="1440"/>
        </w:pPr>
        <w:rPr>
          <w:rFonts w:hint="default"/>
        </w:rPr>
      </w:lvl>
    </w:lvlOverride>
  </w:num>
  <w:num w:numId="29" w16cid:durableId="54210604">
    <w:abstractNumId w:val="3"/>
    <w:lvlOverride w:ilvl="0">
      <w:lvl w:ilvl="0">
        <w:start w:val="1"/>
        <w:numFmt w:val="decimal"/>
        <w:lvlText w:val="%1."/>
        <w:lvlJc w:val="left"/>
        <w:pPr>
          <w:ind w:left="-851" w:hanging="360"/>
        </w:pPr>
        <w:rPr>
          <w:rFonts w:hint="default"/>
        </w:rPr>
      </w:lvl>
    </w:lvlOverride>
    <w:lvlOverride w:ilvl="1">
      <w:lvl w:ilvl="1">
        <w:start w:val="1"/>
        <w:numFmt w:val="decimal"/>
        <w:lvlText w:val="%1.%2."/>
        <w:lvlJc w:val="left"/>
        <w:pPr>
          <w:ind w:left="-419" w:firstLine="759"/>
        </w:pPr>
        <w:rPr>
          <w:rFonts w:hint="default"/>
        </w:rPr>
      </w:lvl>
    </w:lvlOverride>
    <w:lvlOverride w:ilvl="2">
      <w:lvl w:ilvl="2">
        <w:start w:val="1"/>
        <w:numFmt w:val="decimal"/>
        <w:lvlText w:val="%1.%2.%3."/>
        <w:lvlJc w:val="left"/>
        <w:pPr>
          <w:ind w:left="13" w:hanging="504"/>
        </w:pPr>
        <w:rPr>
          <w:rFonts w:hint="default"/>
        </w:rPr>
      </w:lvl>
    </w:lvlOverride>
    <w:lvlOverride w:ilvl="3">
      <w:lvl w:ilvl="3">
        <w:start w:val="1"/>
        <w:numFmt w:val="decimal"/>
        <w:pStyle w:val="Titre4"/>
        <w:lvlText w:val="%1.%2.%3.%4."/>
        <w:lvlJc w:val="left"/>
        <w:pPr>
          <w:ind w:left="517" w:hanging="648"/>
        </w:pPr>
        <w:rPr>
          <w:rFonts w:hint="default"/>
        </w:rPr>
      </w:lvl>
    </w:lvlOverride>
    <w:lvlOverride w:ilvl="4">
      <w:lvl w:ilvl="4">
        <w:start w:val="1"/>
        <w:numFmt w:val="decimal"/>
        <w:pStyle w:val="Titre5"/>
        <w:lvlText w:val="%1.%2.%3.%4.%5."/>
        <w:lvlJc w:val="left"/>
        <w:pPr>
          <w:ind w:left="1021" w:hanging="792"/>
        </w:pPr>
        <w:rPr>
          <w:rFonts w:hint="default"/>
        </w:rPr>
      </w:lvl>
    </w:lvlOverride>
    <w:lvlOverride w:ilvl="5">
      <w:lvl w:ilvl="5">
        <w:start w:val="1"/>
        <w:numFmt w:val="decimal"/>
        <w:pStyle w:val="Titre6"/>
        <w:lvlText w:val="%1.%2.%3.%4.%5.%6."/>
        <w:lvlJc w:val="left"/>
        <w:pPr>
          <w:ind w:left="1525" w:hanging="936"/>
        </w:pPr>
        <w:rPr>
          <w:rFonts w:hint="default"/>
        </w:rPr>
      </w:lvl>
    </w:lvlOverride>
    <w:lvlOverride w:ilvl="6">
      <w:lvl w:ilvl="6">
        <w:start w:val="1"/>
        <w:numFmt w:val="decimal"/>
        <w:pStyle w:val="Titre7"/>
        <w:lvlText w:val="%1.%2.%3.%4.%5.%6.%7."/>
        <w:lvlJc w:val="left"/>
        <w:pPr>
          <w:ind w:left="2029" w:hanging="1080"/>
        </w:pPr>
        <w:rPr>
          <w:rFonts w:hint="default"/>
        </w:rPr>
      </w:lvl>
    </w:lvlOverride>
    <w:lvlOverride w:ilvl="7">
      <w:lvl w:ilvl="7">
        <w:start w:val="1"/>
        <w:numFmt w:val="decimal"/>
        <w:pStyle w:val="Titre8"/>
        <w:lvlText w:val="%1.%2.%3.%4.%5.%6.%7.%8."/>
        <w:lvlJc w:val="left"/>
        <w:pPr>
          <w:ind w:left="2533" w:hanging="1224"/>
        </w:pPr>
        <w:rPr>
          <w:rFonts w:hint="default"/>
        </w:rPr>
      </w:lvl>
    </w:lvlOverride>
    <w:lvlOverride w:ilvl="8">
      <w:lvl w:ilvl="8">
        <w:start w:val="1"/>
        <w:numFmt w:val="decimal"/>
        <w:pStyle w:val="Titre9"/>
        <w:lvlText w:val="%1.%2.%3.%4.%5.%6.%7.%8.%9."/>
        <w:lvlJc w:val="left"/>
        <w:pPr>
          <w:ind w:left="3109" w:hanging="1440"/>
        </w:pPr>
        <w:rPr>
          <w:rFonts w:hint="default"/>
        </w:rPr>
      </w:lvl>
    </w:lvlOverride>
  </w:num>
  <w:num w:numId="30" w16cid:durableId="360205334">
    <w:abstractNumId w:val="3"/>
    <w:lvlOverride w:ilvl="0">
      <w:lvl w:ilvl="0">
        <w:start w:val="1"/>
        <w:numFmt w:val="decimal"/>
        <w:lvlText w:val="%1."/>
        <w:lvlJc w:val="left"/>
        <w:pPr>
          <w:ind w:left="-851" w:hanging="360"/>
        </w:pPr>
        <w:rPr>
          <w:rFonts w:hint="default"/>
        </w:rPr>
      </w:lvl>
    </w:lvlOverride>
    <w:lvlOverride w:ilvl="1">
      <w:lvl w:ilvl="1">
        <w:start w:val="1"/>
        <w:numFmt w:val="decimal"/>
        <w:lvlText w:val="%1.%2."/>
        <w:lvlJc w:val="left"/>
        <w:pPr>
          <w:ind w:left="-419" w:firstLine="759"/>
        </w:pPr>
        <w:rPr>
          <w:rFonts w:hint="default"/>
        </w:rPr>
      </w:lvl>
    </w:lvlOverride>
    <w:lvlOverride w:ilvl="2">
      <w:lvl w:ilvl="2">
        <w:start w:val="1"/>
        <w:numFmt w:val="decimal"/>
        <w:lvlText w:val="%1.%2.%3."/>
        <w:lvlJc w:val="left"/>
        <w:pPr>
          <w:ind w:left="13" w:hanging="504"/>
        </w:pPr>
        <w:rPr>
          <w:rFonts w:hint="default"/>
        </w:rPr>
      </w:lvl>
    </w:lvlOverride>
    <w:lvlOverride w:ilvl="3">
      <w:lvl w:ilvl="3">
        <w:start w:val="1"/>
        <w:numFmt w:val="decimal"/>
        <w:pStyle w:val="Titre4"/>
        <w:lvlText w:val="%1.%2.%3.%4."/>
        <w:lvlJc w:val="left"/>
        <w:pPr>
          <w:ind w:left="517" w:hanging="648"/>
        </w:pPr>
        <w:rPr>
          <w:rFonts w:hint="default"/>
        </w:rPr>
      </w:lvl>
    </w:lvlOverride>
    <w:lvlOverride w:ilvl="4">
      <w:lvl w:ilvl="4">
        <w:start w:val="1"/>
        <w:numFmt w:val="decimal"/>
        <w:pStyle w:val="Titre5"/>
        <w:lvlText w:val="%1.%2.%3.%4.%5."/>
        <w:lvlJc w:val="left"/>
        <w:pPr>
          <w:ind w:left="1021" w:hanging="792"/>
        </w:pPr>
        <w:rPr>
          <w:rFonts w:hint="default"/>
        </w:rPr>
      </w:lvl>
    </w:lvlOverride>
    <w:lvlOverride w:ilvl="5">
      <w:lvl w:ilvl="5">
        <w:start w:val="1"/>
        <w:numFmt w:val="decimal"/>
        <w:pStyle w:val="Titre6"/>
        <w:lvlText w:val="%1.%2.%3.%4.%5.%6."/>
        <w:lvlJc w:val="left"/>
        <w:pPr>
          <w:ind w:left="1525" w:hanging="936"/>
        </w:pPr>
        <w:rPr>
          <w:rFonts w:hint="default"/>
        </w:rPr>
      </w:lvl>
    </w:lvlOverride>
    <w:lvlOverride w:ilvl="6">
      <w:lvl w:ilvl="6">
        <w:start w:val="1"/>
        <w:numFmt w:val="decimal"/>
        <w:pStyle w:val="Titre7"/>
        <w:lvlText w:val="%1.%2.%3.%4.%5.%6.%7."/>
        <w:lvlJc w:val="left"/>
        <w:pPr>
          <w:ind w:left="2029" w:hanging="1080"/>
        </w:pPr>
        <w:rPr>
          <w:rFonts w:hint="default"/>
        </w:rPr>
      </w:lvl>
    </w:lvlOverride>
    <w:lvlOverride w:ilvl="7">
      <w:lvl w:ilvl="7">
        <w:start w:val="1"/>
        <w:numFmt w:val="decimal"/>
        <w:pStyle w:val="Titre8"/>
        <w:lvlText w:val="%1.%2.%3.%4.%5.%6.%7.%8."/>
        <w:lvlJc w:val="left"/>
        <w:pPr>
          <w:ind w:left="2533" w:hanging="1224"/>
        </w:pPr>
        <w:rPr>
          <w:rFonts w:hint="default"/>
        </w:rPr>
      </w:lvl>
    </w:lvlOverride>
    <w:lvlOverride w:ilvl="8">
      <w:lvl w:ilvl="8">
        <w:start w:val="1"/>
        <w:numFmt w:val="decimal"/>
        <w:pStyle w:val="Titre9"/>
        <w:lvlText w:val="%1.%2.%3.%4.%5.%6.%7.%8.%9."/>
        <w:lvlJc w:val="left"/>
        <w:pPr>
          <w:ind w:left="3109" w:hanging="1440"/>
        </w:pPr>
        <w:rPr>
          <w:rFonts w:hint="default"/>
        </w:rPr>
      </w:lvl>
    </w:lvlOverride>
  </w:num>
  <w:num w:numId="31" w16cid:durableId="604121773">
    <w:abstractNumId w:val="3"/>
    <w:lvlOverride w:ilvl="0">
      <w:lvl w:ilvl="0">
        <w:start w:val="1"/>
        <w:numFmt w:val="decimal"/>
        <w:lvlText w:val="%1."/>
        <w:lvlJc w:val="left"/>
        <w:pPr>
          <w:ind w:left="-851" w:hanging="360"/>
        </w:pPr>
        <w:rPr>
          <w:rFonts w:hint="default"/>
        </w:rPr>
      </w:lvl>
    </w:lvlOverride>
    <w:lvlOverride w:ilvl="1">
      <w:lvl w:ilvl="1">
        <w:start w:val="1"/>
        <w:numFmt w:val="decimal"/>
        <w:lvlText w:val="%1.%2."/>
        <w:lvlJc w:val="left"/>
        <w:pPr>
          <w:ind w:left="-419" w:firstLine="759"/>
        </w:pPr>
        <w:rPr>
          <w:rFonts w:hint="default"/>
        </w:rPr>
      </w:lvl>
    </w:lvlOverride>
    <w:lvlOverride w:ilvl="2">
      <w:lvl w:ilvl="2">
        <w:start w:val="1"/>
        <w:numFmt w:val="decimal"/>
        <w:lvlText w:val="%1.%2.%3."/>
        <w:lvlJc w:val="left"/>
        <w:pPr>
          <w:ind w:left="13" w:hanging="504"/>
        </w:pPr>
        <w:rPr>
          <w:rFonts w:hint="default"/>
        </w:rPr>
      </w:lvl>
    </w:lvlOverride>
    <w:lvlOverride w:ilvl="3">
      <w:lvl w:ilvl="3">
        <w:start w:val="1"/>
        <w:numFmt w:val="decimal"/>
        <w:pStyle w:val="Titre4"/>
        <w:lvlText w:val="%1.%2.%3.%4."/>
        <w:lvlJc w:val="left"/>
        <w:pPr>
          <w:ind w:left="517" w:hanging="648"/>
        </w:pPr>
        <w:rPr>
          <w:rFonts w:hint="default"/>
        </w:rPr>
      </w:lvl>
    </w:lvlOverride>
    <w:lvlOverride w:ilvl="4">
      <w:lvl w:ilvl="4">
        <w:start w:val="1"/>
        <w:numFmt w:val="decimal"/>
        <w:pStyle w:val="Titre5"/>
        <w:lvlText w:val="%1.%2.%3.%4.%5."/>
        <w:lvlJc w:val="left"/>
        <w:pPr>
          <w:ind w:left="1021" w:hanging="792"/>
        </w:pPr>
        <w:rPr>
          <w:rFonts w:hint="default"/>
        </w:rPr>
      </w:lvl>
    </w:lvlOverride>
    <w:lvlOverride w:ilvl="5">
      <w:lvl w:ilvl="5">
        <w:start w:val="1"/>
        <w:numFmt w:val="decimal"/>
        <w:pStyle w:val="Titre6"/>
        <w:lvlText w:val="%1.%2.%3.%4.%5.%6."/>
        <w:lvlJc w:val="left"/>
        <w:pPr>
          <w:ind w:left="1525" w:hanging="936"/>
        </w:pPr>
        <w:rPr>
          <w:rFonts w:hint="default"/>
        </w:rPr>
      </w:lvl>
    </w:lvlOverride>
    <w:lvlOverride w:ilvl="6">
      <w:lvl w:ilvl="6">
        <w:start w:val="1"/>
        <w:numFmt w:val="decimal"/>
        <w:pStyle w:val="Titre7"/>
        <w:lvlText w:val="%1.%2.%3.%4.%5.%6.%7."/>
        <w:lvlJc w:val="left"/>
        <w:pPr>
          <w:ind w:left="2029" w:hanging="1080"/>
        </w:pPr>
        <w:rPr>
          <w:rFonts w:hint="default"/>
        </w:rPr>
      </w:lvl>
    </w:lvlOverride>
    <w:lvlOverride w:ilvl="7">
      <w:lvl w:ilvl="7">
        <w:start w:val="1"/>
        <w:numFmt w:val="decimal"/>
        <w:pStyle w:val="Titre8"/>
        <w:lvlText w:val="%1.%2.%3.%4.%5.%6.%7.%8."/>
        <w:lvlJc w:val="left"/>
        <w:pPr>
          <w:ind w:left="2533" w:hanging="1224"/>
        </w:pPr>
        <w:rPr>
          <w:rFonts w:hint="default"/>
        </w:rPr>
      </w:lvl>
    </w:lvlOverride>
    <w:lvlOverride w:ilvl="8">
      <w:lvl w:ilvl="8">
        <w:start w:val="1"/>
        <w:numFmt w:val="decimal"/>
        <w:pStyle w:val="Titre9"/>
        <w:lvlText w:val="%1.%2.%3.%4.%5.%6.%7.%8.%9."/>
        <w:lvlJc w:val="left"/>
        <w:pPr>
          <w:ind w:left="3109" w:hanging="1440"/>
        </w:pPr>
        <w:rPr>
          <w:rFonts w:hint="default"/>
        </w:rPr>
      </w:lvl>
    </w:lvlOverride>
  </w:num>
  <w:num w:numId="32" w16cid:durableId="398093674">
    <w:abstractNumId w:val="3"/>
    <w:lvlOverride w:ilvl="0">
      <w:lvl w:ilvl="0">
        <w:start w:val="1"/>
        <w:numFmt w:val="decimal"/>
        <w:lvlText w:val="%1."/>
        <w:lvlJc w:val="left"/>
        <w:pPr>
          <w:ind w:left="-851" w:hanging="360"/>
        </w:pPr>
        <w:rPr>
          <w:rFonts w:hint="default"/>
        </w:rPr>
      </w:lvl>
    </w:lvlOverride>
    <w:lvlOverride w:ilvl="1">
      <w:lvl w:ilvl="1">
        <w:start w:val="1"/>
        <w:numFmt w:val="decimal"/>
        <w:lvlText w:val="%1.%2."/>
        <w:lvlJc w:val="left"/>
        <w:pPr>
          <w:ind w:left="-419" w:firstLine="759"/>
        </w:pPr>
        <w:rPr>
          <w:rFonts w:hint="default"/>
        </w:rPr>
      </w:lvl>
    </w:lvlOverride>
    <w:lvlOverride w:ilvl="2">
      <w:lvl w:ilvl="2">
        <w:start w:val="1"/>
        <w:numFmt w:val="decimal"/>
        <w:lvlText w:val="%1.%2.%3."/>
        <w:lvlJc w:val="left"/>
        <w:pPr>
          <w:ind w:left="13" w:hanging="504"/>
        </w:pPr>
        <w:rPr>
          <w:rFonts w:hint="default"/>
        </w:rPr>
      </w:lvl>
    </w:lvlOverride>
    <w:lvlOverride w:ilvl="3">
      <w:lvl w:ilvl="3">
        <w:start w:val="1"/>
        <w:numFmt w:val="decimal"/>
        <w:pStyle w:val="Titre4"/>
        <w:lvlText w:val="%1.%2.%3.%4."/>
        <w:lvlJc w:val="left"/>
        <w:pPr>
          <w:ind w:left="517" w:hanging="648"/>
        </w:pPr>
        <w:rPr>
          <w:rFonts w:hint="default"/>
        </w:rPr>
      </w:lvl>
    </w:lvlOverride>
    <w:lvlOverride w:ilvl="4">
      <w:lvl w:ilvl="4">
        <w:start w:val="1"/>
        <w:numFmt w:val="decimal"/>
        <w:pStyle w:val="Titre5"/>
        <w:lvlText w:val="%1.%2.%3.%4.%5."/>
        <w:lvlJc w:val="left"/>
        <w:pPr>
          <w:ind w:left="1021" w:hanging="792"/>
        </w:pPr>
        <w:rPr>
          <w:rFonts w:hint="default"/>
        </w:rPr>
      </w:lvl>
    </w:lvlOverride>
    <w:lvlOverride w:ilvl="5">
      <w:lvl w:ilvl="5">
        <w:start w:val="1"/>
        <w:numFmt w:val="decimal"/>
        <w:pStyle w:val="Titre6"/>
        <w:lvlText w:val="%1.%2.%3.%4.%5.%6."/>
        <w:lvlJc w:val="left"/>
        <w:pPr>
          <w:ind w:left="1525" w:hanging="936"/>
        </w:pPr>
        <w:rPr>
          <w:rFonts w:hint="default"/>
        </w:rPr>
      </w:lvl>
    </w:lvlOverride>
    <w:lvlOverride w:ilvl="6">
      <w:lvl w:ilvl="6">
        <w:start w:val="1"/>
        <w:numFmt w:val="decimal"/>
        <w:pStyle w:val="Titre7"/>
        <w:lvlText w:val="%1.%2.%3.%4.%5.%6.%7."/>
        <w:lvlJc w:val="left"/>
        <w:pPr>
          <w:ind w:left="2029" w:hanging="1080"/>
        </w:pPr>
        <w:rPr>
          <w:rFonts w:hint="default"/>
        </w:rPr>
      </w:lvl>
    </w:lvlOverride>
    <w:lvlOverride w:ilvl="7">
      <w:lvl w:ilvl="7">
        <w:start w:val="1"/>
        <w:numFmt w:val="decimal"/>
        <w:pStyle w:val="Titre8"/>
        <w:lvlText w:val="%1.%2.%3.%4.%5.%6.%7.%8."/>
        <w:lvlJc w:val="left"/>
        <w:pPr>
          <w:ind w:left="2533" w:hanging="1224"/>
        </w:pPr>
        <w:rPr>
          <w:rFonts w:hint="default"/>
        </w:rPr>
      </w:lvl>
    </w:lvlOverride>
    <w:lvlOverride w:ilvl="8">
      <w:lvl w:ilvl="8">
        <w:start w:val="1"/>
        <w:numFmt w:val="decimal"/>
        <w:pStyle w:val="Titre9"/>
        <w:lvlText w:val="%1.%2.%3.%4.%5.%6.%7.%8.%9."/>
        <w:lvlJc w:val="left"/>
        <w:pPr>
          <w:ind w:left="3109" w:hanging="1440"/>
        </w:pPr>
        <w:rPr>
          <w:rFonts w:hint="default"/>
        </w:rPr>
      </w:lvl>
    </w:lvlOverride>
  </w:num>
  <w:num w:numId="33" w16cid:durableId="1724475916">
    <w:abstractNumId w:val="3"/>
    <w:lvlOverride w:ilvl="0">
      <w:lvl w:ilvl="0">
        <w:start w:val="1"/>
        <w:numFmt w:val="decimal"/>
        <w:lvlText w:val="%1."/>
        <w:lvlJc w:val="left"/>
        <w:pPr>
          <w:ind w:left="-851" w:hanging="360"/>
        </w:pPr>
        <w:rPr>
          <w:rFonts w:hint="default"/>
        </w:rPr>
      </w:lvl>
    </w:lvlOverride>
    <w:lvlOverride w:ilvl="1">
      <w:lvl w:ilvl="1">
        <w:start w:val="1"/>
        <w:numFmt w:val="decimal"/>
        <w:lvlText w:val="%1.%2."/>
        <w:lvlJc w:val="left"/>
        <w:pPr>
          <w:ind w:left="-419" w:firstLine="759"/>
        </w:pPr>
        <w:rPr>
          <w:rFonts w:hint="default"/>
        </w:rPr>
      </w:lvl>
    </w:lvlOverride>
    <w:lvlOverride w:ilvl="2">
      <w:lvl w:ilvl="2">
        <w:start w:val="1"/>
        <w:numFmt w:val="decimal"/>
        <w:lvlText w:val="%1.%2.%3."/>
        <w:lvlJc w:val="left"/>
        <w:pPr>
          <w:ind w:left="13" w:hanging="504"/>
        </w:pPr>
        <w:rPr>
          <w:rFonts w:hint="default"/>
        </w:rPr>
      </w:lvl>
    </w:lvlOverride>
    <w:lvlOverride w:ilvl="3">
      <w:lvl w:ilvl="3">
        <w:start w:val="1"/>
        <w:numFmt w:val="decimal"/>
        <w:pStyle w:val="Titre4"/>
        <w:lvlText w:val="%1.%2.%3.%4."/>
        <w:lvlJc w:val="left"/>
        <w:pPr>
          <w:ind w:left="517" w:hanging="648"/>
        </w:pPr>
        <w:rPr>
          <w:rFonts w:hint="default"/>
        </w:rPr>
      </w:lvl>
    </w:lvlOverride>
    <w:lvlOverride w:ilvl="4">
      <w:lvl w:ilvl="4">
        <w:start w:val="1"/>
        <w:numFmt w:val="decimal"/>
        <w:pStyle w:val="Titre5"/>
        <w:lvlText w:val="%1.%2.%3.%4.%5."/>
        <w:lvlJc w:val="left"/>
        <w:pPr>
          <w:ind w:left="1021" w:hanging="792"/>
        </w:pPr>
        <w:rPr>
          <w:rFonts w:hint="default"/>
        </w:rPr>
      </w:lvl>
    </w:lvlOverride>
    <w:lvlOverride w:ilvl="5">
      <w:lvl w:ilvl="5">
        <w:start w:val="1"/>
        <w:numFmt w:val="decimal"/>
        <w:pStyle w:val="Titre6"/>
        <w:lvlText w:val="%1.%2.%3.%4.%5.%6."/>
        <w:lvlJc w:val="left"/>
        <w:pPr>
          <w:ind w:left="1525" w:hanging="936"/>
        </w:pPr>
        <w:rPr>
          <w:rFonts w:hint="default"/>
        </w:rPr>
      </w:lvl>
    </w:lvlOverride>
    <w:lvlOverride w:ilvl="6">
      <w:lvl w:ilvl="6">
        <w:start w:val="1"/>
        <w:numFmt w:val="decimal"/>
        <w:pStyle w:val="Titre7"/>
        <w:lvlText w:val="%1.%2.%3.%4.%5.%6.%7."/>
        <w:lvlJc w:val="left"/>
        <w:pPr>
          <w:ind w:left="2029" w:hanging="1080"/>
        </w:pPr>
        <w:rPr>
          <w:rFonts w:hint="default"/>
        </w:rPr>
      </w:lvl>
    </w:lvlOverride>
    <w:lvlOverride w:ilvl="7">
      <w:lvl w:ilvl="7">
        <w:start w:val="1"/>
        <w:numFmt w:val="decimal"/>
        <w:pStyle w:val="Titre8"/>
        <w:lvlText w:val="%1.%2.%3.%4.%5.%6.%7.%8."/>
        <w:lvlJc w:val="left"/>
        <w:pPr>
          <w:ind w:left="2533" w:hanging="1224"/>
        </w:pPr>
        <w:rPr>
          <w:rFonts w:hint="default"/>
        </w:rPr>
      </w:lvl>
    </w:lvlOverride>
    <w:lvlOverride w:ilvl="8">
      <w:lvl w:ilvl="8">
        <w:start w:val="1"/>
        <w:numFmt w:val="decimal"/>
        <w:pStyle w:val="Titre9"/>
        <w:lvlText w:val="%1.%2.%3.%4.%5.%6.%7.%8.%9."/>
        <w:lvlJc w:val="left"/>
        <w:pPr>
          <w:ind w:left="3109" w:hanging="1440"/>
        </w:pPr>
        <w:rPr>
          <w:rFonts w:hint="default"/>
        </w:rPr>
      </w:lvl>
    </w:lvlOverride>
  </w:num>
  <w:num w:numId="34" w16cid:durableId="1245216442">
    <w:abstractNumId w:val="3"/>
    <w:lvlOverride w:ilvl="0">
      <w:lvl w:ilvl="0">
        <w:start w:val="1"/>
        <w:numFmt w:val="decimal"/>
        <w:lvlText w:val="%1."/>
        <w:lvlJc w:val="left"/>
        <w:pPr>
          <w:ind w:left="-851" w:hanging="360"/>
        </w:pPr>
        <w:rPr>
          <w:rFonts w:hint="default"/>
        </w:rPr>
      </w:lvl>
    </w:lvlOverride>
    <w:lvlOverride w:ilvl="1">
      <w:lvl w:ilvl="1">
        <w:start w:val="1"/>
        <w:numFmt w:val="decimal"/>
        <w:lvlText w:val="%1.%2."/>
        <w:lvlJc w:val="left"/>
        <w:pPr>
          <w:ind w:left="-419" w:firstLine="759"/>
        </w:pPr>
        <w:rPr>
          <w:rFonts w:hint="default"/>
        </w:rPr>
      </w:lvl>
    </w:lvlOverride>
    <w:lvlOverride w:ilvl="2">
      <w:lvl w:ilvl="2">
        <w:start w:val="1"/>
        <w:numFmt w:val="decimal"/>
        <w:lvlText w:val="%1.%2.%3."/>
        <w:lvlJc w:val="left"/>
        <w:pPr>
          <w:ind w:left="13" w:hanging="504"/>
        </w:pPr>
        <w:rPr>
          <w:rFonts w:hint="default"/>
        </w:rPr>
      </w:lvl>
    </w:lvlOverride>
    <w:lvlOverride w:ilvl="3">
      <w:lvl w:ilvl="3">
        <w:start w:val="1"/>
        <w:numFmt w:val="decimal"/>
        <w:pStyle w:val="Titre4"/>
        <w:lvlText w:val="%1.%2.%3.%4."/>
        <w:lvlJc w:val="left"/>
        <w:pPr>
          <w:ind w:left="517" w:hanging="648"/>
        </w:pPr>
        <w:rPr>
          <w:rFonts w:hint="default"/>
        </w:rPr>
      </w:lvl>
    </w:lvlOverride>
    <w:lvlOverride w:ilvl="4">
      <w:lvl w:ilvl="4">
        <w:start w:val="1"/>
        <w:numFmt w:val="decimal"/>
        <w:pStyle w:val="Titre5"/>
        <w:lvlText w:val="%1.%2.%3.%4.%5."/>
        <w:lvlJc w:val="left"/>
        <w:pPr>
          <w:ind w:left="1021" w:hanging="792"/>
        </w:pPr>
        <w:rPr>
          <w:rFonts w:hint="default"/>
        </w:rPr>
      </w:lvl>
    </w:lvlOverride>
    <w:lvlOverride w:ilvl="5">
      <w:lvl w:ilvl="5">
        <w:start w:val="1"/>
        <w:numFmt w:val="decimal"/>
        <w:pStyle w:val="Titre6"/>
        <w:lvlText w:val="%1.%2.%3.%4.%5.%6."/>
        <w:lvlJc w:val="left"/>
        <w:pPr>
          <w:ind w:left="1525" w:hanging="936"/>
        </w:pPr>
        <w:rPr>
          <w:rFonts w:hint="default"/>
        </w:rPr>
      </w:lvl>
    </w:lvlOverride>
    <w:lvlOverride w:ilvl="6">
      <w:lvl w:ilvl="6">
        <w:start w:val="1"/>
        <w:numFmt w:val="decimal"/>
        <w:pStyle w:val="Titre7"/>
        <w:lvlText w:val="%1.%2.%3.%4.%5.%6.%7."/>
        <w:lvlJc w:val="left"/>
        <w:pPr>
          <w:ind w:left="2029" w:hanging="1080"/>
        </w:pPr>
        <w:rPr>
          <w:rFonts w:hint="default"/>
        </w:rPr>
      </w:lvl>
    </w:lvlOverride>
    <w:lvlOverride w:ilvl="7">
      <w:lvl w:ilvl="7">
        <w:start w:val="1"/>
        <w:numFmt w:val="decimal"/>
        <w:pStyle w:val="Titre8"/>
        <w:lvlText w:val="%1.%2.%3.%4.%5.%6.%7.%8."/>
        <w:lvlJc w:val="left"/>
        <w:pPr>
          <w:ind w:left="2533" w:hanging="1224"/>
        </w:pPr>
        <w:rPr>
          <w:rFonts w:hint="default"/>
        </w:rPr>
      </w:lvl>
    </w:lvlOverride>
    <w:lvlOverride w:ilvl="8">
      <w:lvl w:ilvl="8">
        <w:start w:val="1"/>
        <w:numFmt w:val="decimal"/>
        <w:pStyle w:val="Titre9"/>
        <w:lvlText w:val="%1.%2.%3.%4.%5.%6.%7.%8.%9."/>
        <w:lvlJc w:val="left"/>
        <w:pPr>
          <w:ind w:left="3109" w:hanging="1440"/>
        </w:pPr>
        <w:rPr>
          <w:rFonts w:hint="default"/>
        </w:rPr>
      </w:lvl>
    </w:lvlOverride>
  </w:num>
  <w:num w:numId="35" w16cid:durableId="1811438255">
    <w:abstractNumId w:val="3"/>
    <w:lvlOverride w:ilvl="0">
      <w:lvl w:ilvl="0">
        <w:start w:val="1"/>
        <w:numFmt w:val="decimal"/>
        <w:lvlText w:val="%1."/>
        <w:lvlJc w:val="left"/>
        <w:pPr>
          <w:ind w:left="-851" w:hanging="360"/>
        </w:pPr>
        <w:rPr>
          <w:rFonts w:hint="default"/>
        </w:rPr>
      </w:lvl>
    </w:lvlOverride>
    <w:lvlOverride w:ilvl="1">
      <w:lvl w:ilvl="1">
        <w:start w:val="1"/>
        <w:numFmt w:val="decimal"/>
        <w:lvlText w:val="%1.%2."/>
        <w:lvlJc w:val="left"/>
        <w:pPr>
          <w:ind w:left="-419" w:firstLine="759"/>
        </w:pPr>
        <w:rPr>
          <w:rFonts w:hint="default"/>
        </w:rPr>
      </w:lvl>
    </w:lvlOverride>
    <w:lvlOverride w:ilvl="2">
      <w:lvl w:ilvl="2">
        <w:start w:val="1"/>
        <w:numFmt w:val="decimal"/>
        <w:lvlText w:val="%1.%2.%3."/>
        <w:lvlJc w:val="left"/>
        <w:pPr>
          <w:ind w:left="13" w:hanging="504"/>
        </w:pPr>
        <w:rPr>
          <w:rFonts w:hint="default"/>
        </w:rPr>
      </w:lvl>
    </w:lvlOverride>
    <w:lvlOverride w:ilvl="3">
      <w:lvl w:ilvl="3">
        <w:start w:val="1"/>
        <w:numFmt w:val="decimal"/>
        <w:pStyle w:val="Titre4"/>
        <w:lvlText w:val="%1.%2.%3.%4."/>
        <w:lvlJc w:val="left"/>
        <w:pPr>
          <w:ind w:left="517" w:hanging="648"/>
        </w:pPr>
        <w:rPr>
          <w:rFonts w:hint="default"/>
        </w:rPr>
      </w:lvl>
    </w:lvlOverride>
    <w:lvlOverride w:ilvl="4">
      <w:lvl w:ilvl="4">
        <w:start w:val="1"/>
        <w:numFmt w:val="decimal"/>
        <w:pStyle w:val="Titre5"/>
        <w:lvlText w:val="%1.%2.%3.%4.%5."/>
        <w:lvlJc w:val="left"/>
        <w:pPr>
          <w:ind w:left="1021" w:hanging="792"/>
        </w:pPr>
        <w:rPr>
          <w:rFonts w:hint="default"/>
        </w:rPr>
      </w:lvl>
    </w:lvlOverride>
    <w:lvlOverride w:ilvl="5">
      <w:lvl w:ilvl="5">
        <w:start w:val="1"/>
        <w:numFmt w:val="decimal"/>
        <w:pStyle w:val="Titre6"/>
        <w:lvlText w:val="%1.%2.%3.%4.%5.%6."/>
        <w:lvlJc w:val="left"/>
        <w:pPr>
          <w:ind w:left="1525" w:hanging="936"/>
        </w:pPr>
        <w:rPr>
          <w:rFonts w:hint="default"/>
        </w:rPr>
      </w:lvl>
    </w:lvlOverride>
    <w:lvlOverride w:ilvl="6">
      <w:lvl w:ilvl="6">
        <w:start w:val="1"/>
        <w:numFmt w:val="decimal"/>
        <w:pStyle w:val="Titre7"/>
        <w:lvlText w:val="%1.%2.%3.%4.%5.%6.%7."/>
        <w:lvlJc w:val="left"/>
        <w:pPr>
          <w:ind w:left="2029" w:hanging="1080"/>
        </w:pPr>
        <w:rPr>
          <w:rFonts w:hint="default"/>
        </w:rPr>
      </w:lvl>
    </w:lvlOverride>
    <w:lvlOverride w:ilvl="7">
      <w:lvl w:ilvl="7">
        <w:start w:val="1"/>
        <w:numFmt w:val="decimal"/>
        <w:pStyle w:val="Titre8"/>
        <w:lvlText w:val="%1.%2.%3.%4.%5.%6.%7.%8."/>
        <w:lvlJc w:val="left"/>
        <w:pPr>
          <w:ind w:left="2533" w:hanging="1224"/>
        </w:pPr>
        <w:rPr>
          <w:rFonts w:hint="default"/>
        </w:rPr>
      </w:lvl>
    </w:lvlOverride>
    <w:lvlOverride w:ilvl="8">
      <w:lvl w:ilvl="8">
        <w:start w:val="1"/>
        <w:numFmt w:val="decimal"/>
        <w:pStyle w:val="Titre9"/>
        <w:lvlText w:val="%1.%2.%3.%4.%5.%6.%7.%8.%9."/>
        <w:lvlJc w:val="left"/>
        <w:pPr>
          <w:ind w:left="3109" w:hanging="1440"/>
        </w:pPr>
        <w:rPr>
          <w:rFonts w:hint="default"/>
        </w:rPr>
      </w:lvl>
    </w:lvlOverride>
  </w:num>
  <w:num w:numId="36" w16cid:durableId="1714695099">
    <w:abstractNumId w:val="15"/>
  </w:num>
  <w:num w:numId="37" w16cid:durableId="1219782340">
    <w:abstractNumId w:val="3"/>
    <w:lvlOverride w:ilvl="0">
      <w:lvl w:ilvl="0">
        <w:start w:val="1"/>
        <w:numFmt w:val="decimal"/>
        <w:lvlText w:val="%1."/>
        <w:lvlJc w:val="left"/>
        <w:pPr>
          <w:ind w:left="-851" w:hanging="360"/>
        </w:pPr>
        <w:rPr>
          <w:rFonts w:hint="default"/>
        </w:rPr>
      </w:lvl>
    </w:lvlOverride>
    <w:lvlOverride w:ilvl="1">
      <w:lvl w:ilvl="1">
        <w:start w:val="1"/>
        <w:numFmt w:val="decimal"/>
        <w:lvlText w:val="%1.%2."/>
        <w:lvlJc w:val="left"/>
        <w:pPr>
          <w:ind w:left="-419" w:firstLine="759"/>
        </w:pPr>
        <w:rPr>
          <w:rFonts w:hint="default"/>
        </w:rPr>
      </w:lvl>
    </w:lvlOverride>
    <w:lvlOverride w:ilvl="2">
      <w:lvl w:ilvl="2">
        <w:start w:val="1"/>
        <w:numFmt w:val="decimal"/>
        <w:lvlText w:val="%1.%2.%3."/>
        <w:lvlJc w:val="left"/>
        <w:pPr>
          <w:ind w:left="13" w:hanging="504"/>
        </w:pPr>
        <w:rPr>
          <w:rFonts w:hint="default"/>
        </w:rPr>
      </w:lvl>
    </w:lvlOverride>
    <w:lvlOverride w:ilvl="3">
      <w:lvl w:ilvl="3">
        <w:start w:val="1"/>
        <w:numFmt w:val="decimal"/>
        <w:pStyle w:val="Titre4"/>
        <w:lvlText w:val="%1.%2.%3.%4."/>
        <w:lvlJc w:val="left"/>
        <w:pPr>
          <w:ind w:left="517" w:hanging="648"/>
        </w:pPr>
        <w:rPr>
          <w:rFonts w:hint="default"/>
        </w:rPr>
      </w:lvl>
    </w:lvlOverride>
    <w:lvlOverride w:ilvl="4">
      <w:lvl w:ilvl="4">
        <w:start w:val="1"/>
        <w:numFmt w:val="decimal"/>
        <w:pStyle w:val="Titre5"/>
        <w:lvlText w:val="%1.%2.%3.%4.%5."/>
        <w:lvlJc w:val="left"/>
        <w:pPr>
          <w:ind w:left="1021" w:hanging="792"/>
        </w:pPr>
        <w:rPr>
          <w:rFonts w:hint="default"/>
        </w:rPr>
      </w:lvl>
    </w:lvlOverride>
    <w:lvlOverride w:ilvl="5">
      <w:lvl w:ilvl="5">
        <w:start w:val="1"/>
        <w:numFmt w:val="decimal"/>
        <w:pStyle w:val="Titre6"/>
        <w:lvlText w:val="%1.%2.%3.%4.%5.%6."/>
        <w:lvlJc w:val="left"/>
        <w:pPr>
          <w:ind w:left="1525" w:hanging="936"/>
        </w:pPr>
        <w:rPr>
          <w:rFonts w:hint="default"/>
        </w:rPr>
      </w:lvl>
    </w:lvlOverride>
    <w:lvlOverride w:ilvl="6">
      <w:lvl w:ilvl="6">
        <w:start w:val="1"/>
        <w:numFmt w:val="decimal"/>
        <w:pStyle w:val="Titre7"/>
        <w:lvlText w:val="%1.%2.%3.%4.%5.%6.%7."/>
        <w:lvlJc w:val="left"/>
        <w:pPr>
          <w:ind w:left="2029" w:hanging="1080"/>
        </w:pPr>
        <w:rPr>
          <w:rFonts w:hint="default"/>
        </w:rPr>
      </w:lvl>
    </w:lvlOverride>
    <w:lvlOverride w:ilvl="7">
      <w:lvl w:ilvl="7">
        <w:start w:val="1"/>
        <w:numFmt w:val="decimal"/>
        <w:pStyle w:val="Titre8"/>
        <w:lvlText w:val="%1.%2.%3.%4.%5.%6.%7.%8."/>
        <w:lvlJc w:val="left"/>
        <w:pPr>
          <w:ind w:left="2533" w:hanging="1224"/>
        </w:pPr>
        <w:rPr>
          <w:rFonts w:hint="default"/>
        </w:rPr>
      </w:lvl>
    </w:lvlOverride>
    <w:lvlOverride w:ilvl="8">
      <w:lvl w:ilvl="8">
        <w:start w:val="1"/>
        <w:numFmt w:val="decimal"/>
        <w:pStyle w:val="Titre9"/>
        <w:lvlText w:val="%1.%2.%3.%4.%5.%6.%7.%8.%9."/>
        <w:lvlJc w:val="left"/>
        <w:pPr>
          <w:ind w:left="3109" w:hanging="1440"/>
        </w:pPr>
        <w:rPr>
          <w:rFonts w:hint="default"/>
        </w:rPr>
      </w:lvl>
    </w:lvlOverride>
  </w:num>
  <w:num w:numId="38" w16cid:durableId="2073504519">
    <w:abstractNumId w:val="3"/>
    <w:lvlOverride w:ilvl="0">
      <w:lvl w:ilvl="0">
        <w:start w:val="1"/>
        <w:numFmt w:val="decimal"/>
        <w:lvlText w:val="%1."/>
        <w:lvlJc w:val="left"/>
        <w:pPr>
          <w:ind w:left="-851" w:hanging="360"/>
        </w:pPr>
        <w:rPr>
          <w:rFonts w:hint="default"/>
        </w:rPr>
      </w:lvl>
    </w:lvlOverride>
    <w:lvlOverride w:ilvl="1">
      <w:lvl w:ilvl="1">
        <w:start w:val="1"/>
        <w:numFmt w:val="decimal"/>
        <w:lvlText w:val="%1.%2."/>
        <w:lvlJc w:val="left"/>
        <w:pPr>
          <w:ind w:left="-419" w:firstLine="759"/>
        </w:pPr>
        <w:rPr>
          <w:rFonts w:hint="default"/>
        </w:rPr>
      </w:lvl>
    </w:lvlOverride>
    <w:lvlOverride w:ilvl="2">
      <w:lvl w:ilvl="2">
        <w:start w:val="1"/>
        <w:numFmt w:val="decimal"/>
        <w:lvlText w:val="%1.%2.%3."/>
        <w:lvlJc w:val="left"/>
        <w:pPr>
          <w:ind w:left="13" w:hanging="504"/>
        </w:pPr>
        <w:rPr>
          <w:rFonts w:hint="default"/>
        </w:rPr>
      </w:lvl>
    </w:lvlOverride>
    <w:lvlOverride w:ilvl="3">
      <w:lvl w:ilvl="3">
        <w:start w:val="1"/>
        <w:numFmt w:val="decimal"/>
        <w:pStyle w:val="Titre4"/>
        <w:lvlText w:val="%1.%2.%3.%4."/>
        <w:lvlJc w:val="left"/>
        <w:pPr>
          <w:ind w:left="517" w:hanging="648"/>
        </w:pPr>
        <w:rPr>
          <w:rFonts w:hint="default"/>
        </w:rPr>
      </w:lvl>
    </w:lvlOverride>
    <w:lvlOverride w:ilvl="4">
      <w:lvl w:ilvl="4">
        <w:start w:val="1"/>
        <w:numFmt w:val="decimal"/>
        <w:pStyle w:val="Titre5"/>
        <w:lvlText w:val="%1.%2.%3.%4.%5."/>
        <w:lvlJc w:val="left"/>
        <w:pPr>
          <w:ind w:left="1021" w:hanging="792"/>
        </w:pPr>
        <w:rPr>
          <w:rFonts w:hint="default"/>
        </w:rPr>
      </w:lvl>
    </w:lvlOverride>
    <w:lvlOverride w:ilvl="5">
      <w:lvl w:ilvl="5">
        <w:start w:val="1"/>
        <w:numFmt w:val="decimal"/>
        <w:pStyle w:val="Titre6"/>
        <w:lvlText w:val="%1.%2.%3.%4.%5.%6."/>
        <w:lvlJc w:val="left"/>
        <w:pPr>
          <w:ind w:left="1525" w:hanging="936"/>
        </w:pPr>
        <w:rPr>
          <w:rFonts w:hint="default"/>
        </w:rPr>
      </w:lvl>
    </w:lvlOverride>
    <w:lvlOverride w:ilvl="6">
      <w:lvl w:ilvl="6">
        <w:start w:val="1"/>
        <w:numFmt w:val="decimal"/>
        <w:pStyle w:val="Titre7"/>
        <w:lvlText w:val="%1.%2.%3.%4.%5.%6.%7."/>
        <w:lvlJc w:val="left"/>
        <w:pPr>
          <w:ind w:left="2029" w:hanging="1080"/>
        </w:pPr>
        <w:rPr>
          <w:rFonts w:hint="default"/>
        </w:rPr>
      </w:lvl>
    </w:lvlOverride>
    <w:lvlOverride w:ilvl="7">
      <w:lvl w:ilvl="7">
        <w:start w:val="1"/>
        <w:numFmt w:val="decimal"/>
        <w:pStyle w:val="Titre8"/>
        <w:lvlText w:val="%1.%2.%3.%4.%5.%6.%7.%8."/>
        <w:lvlJc w:val="left"/>
        <w:pPr>
          <w:ind w:left="2533" w:hanging="1224"/>
        </w:pPr>
        <w:rPr>
          <w:rFonts w:hint="default"/>
        </w:rPr>
      </w:lvl>
    </w:lvlOverride>
    <w:lvlOverride w:ilvl="8">
      <w:lvl w:ilvl="8">
        <w:start w:val="1"/>
        <w:numFmt w:val="decimal"/>
        <w:pStyle w:val="Titre9"/>
        <w:lvlText w:val="%1.%2.%3.%4.%5.%6.%7.%8.%9."/>
        <w:lvlJc w:val="left"/>
        <w:pPr>
          <w:ind w:left="3109" w:hanging="1440"/>
        </w:pPr>
        <w:rPr>
          <w:rFonts w:hint="default"/>
        </w:rPr>
      </w:lvl>
    </w:lvlOverride>
  </w:num>
  <w:num w:numId="39" w16cid:durableId="2011179106">
    <w:abstractNumId w:val="3"/>
    <w:lvlOverride w:ilvl="0">
      <w:lvl w:ilvl="0">
        <w:start w:val="1"/>
        <w:numFmt w:val="decimal"/>
        <w:lvlText w:val="%1."/>
        <w:lvlJc w:val="left"/>
        <w:pPr>
          <w:ind w:left="-851" w:hanging="360"/>
        </w:pPr>
        <w:rPr>
          <w:rFonts w:hint="default"/>
        </w:rPr>
      </w:lvl>
    </w:lvlOverride>
    <w:lvlOverride w:ilvl="1">
      <w:lvl w:ilvl="1">
        <w:start w:val="1"/>
        <w:numFmt w:val="decimal"/>
        <w:lvlText w:val="%1.%2."/>
        <w:lvlJc w:val="left"/>
        <w:pPr>
          <w:ind w:left="-419" w:firstLine="759"/>
        </w:pPr>
        <w:rPr>
          <w:rFonts w:hint="default"/>
        </w:rPr>
      </w:lvl>
    </w:lvlOverride>
    <w:lvlOverride w:ilvl="2">
      <w:lvl w:ilvl="2">
        <w:start w:val="1"/>
        <w:numFmt w:val="decimal"/>
        <w:lvlText w:val="%1.%2.%3."/>
        <w:lvlJc w:val="left"/>
        <w:pPr>
          <w:ind w:left="13" w:hanging="504"/>
        </w:pPr>
        <w:rPr>
          <w:rFonts w:hint="default"/>
        </w:rPr>
      </w:lvl>
    </w:lvlOverride>
    <w:lvlOverride w:ilvl="3">
      <w:lvl w:ilvl="3">
        <w:start w:val="1"/>
        <w:numFmt w:val="decimal"/>
        <w:pStyle w:val="Titre4"/>
        <w:lvlText w:val="%1.%2.%3.%4."/>
        <w:lvlJc w:val="left"/>
        <w:pPr>
          <w:ind w:left="517" w:hanging="648"/>
        </w:pPr>
        <w:rPr>
          <w:rFonts w:hint="default"/>
        </w:rPr>
      </w:lvl>
    </w:lvlOverride>
    <w:lvlOverride w:ilvl="4">
      <w:lvl w:ilvl="4">
        <w:start w:val="1"/>
        <w:numFmt w:val="decimal"/>
        <w:pStyle w:val="Titre5"/>
        <w:lvlText w:val="%1.%2.%3.%4.%5."/>
        <w:lvlJc w:val="left"/>
        <w:pPr>
          <w:ind w:left="1021" w:hanging="792"/>
        </w:pPr>
        <w:rPr>
          <w:rFonts w:hint="default"/>
        </w:rPr>
      </w:lvl>
    </w:lvlOverride>
    <w:lvlOverride w:ilvl="5">
      <w:lvl w:ilvl="5">
        <w:start w:val="1"/>
        <w:numFmt w:val="decimal"/>
        <w:pStyle w:val="Titre6"/>
        <w:lvlText w:val="%1.%2.%3.%4.%5.%6."/>
        <w:lvlJc w:val="left"/>
        <w:pPr>
          <w:ind w:left="1525" w:hanging="936"/>
        </w:pPr>
        <w:rPr>
          <w:rFonts w:hint="default"/>
        </w:rPr>
      </w:lvl>
    </w:lvlOverride>
    <w:lvlOverride w:ilvl="6">
      <w:lvl w:ilvl="6">
        <w:start w:val="1"/>
        <w:numFmt w:val="decimal"/>
        <w:pStyle w:val="Titre7"/>
        <w:lvlText w:val="%1.%2.%3.%4.%5.%6.%7."/>
        <w:lvlJc w:val="left"/>
        <w:pPr>
          <w:ind w:left="2029" w:hanging="1080"/>
        </w:pPr>
        <w:rPr>
          <w:rFonts w:hint="default"/>
        </w:rPr>
      </w:lvl>
    </w:lvlOverride>
    <w:lvlOverride w:ilvl="7">
      <w:lvl w:ilvl="7">
        <w:start w:val="1"/>
        <w:numFmt w:val="decimal"/>
        <w:pStyle w:val="Titre8"/>
        <w:lvlText w:val="%1.%2.%3.%4.%5.%6.%7.%8."/>
        <w:lvlJc w:val="left"/>
        <w:pPr>
          <w:ind w:left="2533" w:hanging="1224"/>
        </w:pPr>
        <w:rPr>
          <w:rFonts w:hint="default"/>
        </w:rPr>
      </w:lvl>
    </w:lvlOverride>
    <w:lvlOverride w:ilvl="8">
      <w:lvl w:ilvl="8">
        <w:start w:val="1"/>
        <w:numFmt w:val="decimal"/>
        <w:pStyle w:val="Titre9"/>
        <w:lvlText w:val="%1.%2.%3.%4.%5.%6.%7.%8.%9."/>
        <w:lvlJc w:val="left"/>
        <w:pPr>
          <w:ind w:left="3109" w:hanging="1440"/>
        </w:pPr>
        <w:rPr>
          <w:rFonts w:hint="default"/>
        </w:rPr>
      </w:lvl>
    </w:lvlOverride>
  </w:num>
  <w:num w:numId="40" w16cid:durableId="1802579007">
    <w:abstractNumId w:val="3"/>
    <w:lvlOverride w:ilvl="0">
      <w:lvl w:ilvl="0">
        <w:start w:val="1"/>
        <w:numFmt w:val="decimal"/>
        <w:lvlText w:val="%1."/>
        <w:lvlJc w:val="left"/>
        <w:pPr>
          <w:ind w:left="-851" w:hanging="360"/>
        </w:pPr>
        <w:rPr>
          <w:rFonts w:hint="default"/>
        </w:rPr>
      </w:lvl>
    </w:lvlOverride>
    <w:lvlOverride w:ilvl="1">
      <w:lvl w:ilvl="1">
        <w:start w:val="1"/>
        <w:numFmt w:val="decimal"/>
        <w:lvlText w:val="%1.%2."/>
        <w:lvlJc w:val="left"/>
        <w:pPr>
          <w:ind w:left="-419" w:firstLine="759"/>
        </w:pPr>
        <w:rPr>
          <w:rFonts w:hint="default"/>
        </w:rPr>
      </w:lvl>
    </w:lvlOverride>
    <w:lvlOverride w:ilvl="2">
      <w:lvl w:ilvl="2">
        <w:start w:val="1"/>
        <w:numFmt w:val="decimal"/>
        <w:lvlText w:val="%1.%2.%3."/>
        <w:lvlJc w:val="left"/>
        <w:pPr>
          <w:ind w:left="13" w:hanging="504"/>
        </w:pPr>
        <w:rPr>
          <w:rFonts w:hint="default"/>
        </w:rPr>
      </w:lvl>
    </w:lvlOverride>
    <w:lvlOverride w:ilvl="3">
      <w:lvl w:ilvl="3">
        <w:start w:val="1"/>
        <w:numFmt w:val="decimal"/>
        <w:pStyle w:val="Titre4"/>
        <w:lvlText w:val="%1.%2.%3.%4."/>
        <w:lvlJc w:val="left"/>
        <w:pPr>
          <w:ind w:left="517" w:hanging="648"/>
        </w:pPr>
        <w:rPr>
          <w:rFonts w:hint="default"/>
        </w:rPr>
      </w:lvl>
    </w:lvlOverride>
    <w:lvlOverride w:ilvl="4">
      <w:lvl w:ilvl="4">
        <w:start w:val="1"/>
        <w:numFmt w:val="decimal"/>
        <w:pStyle w:val="Titre5"/>
        <w:lvlText w:val="%1.%2.%3.%4.%5."/>
        <w:lvlJc w:val="left"/>
        <w:pPr>
          <w:ind w:left="1021" w:hanging="792"/>
        </w:pPr>
        <w:rPr>
          <w:rFonts w:hint="default"/>
        </w:rPr>
      </w:lvl>
    </w:lvlOverride>
    <w:lvlOverride w:ilvl="5">
      <w:lvl w:ilvl="5">
        <w:start w:val="1"/>
        <w:numFmt w:val="decimal"/>
        <w:pStyle w:val="Titre6"/>
        <w:lvlText w:val="%1.%2.%3.%4.%5.%6."/>
        <w:lvlJc w:val="left"/>
        <w:pPr>
          <w:ind w:left="1525" w:hanging="936"/>
        </w:pPr>
        <w:rPr>
          <w:rFonts w:hint="default"/>
        </w:rPr>
      </w:lvl>
    </w:lvlOverride>
    <w:lvlOverride w:ilvl="6">
      <w:lvl w:ilvl="6">
        <w:start w:val="1"/>
        <w:numFmt w:val="decimal"/>
        <w:pStyle w:val="Titre7"/>
        <w:lvlText w:val="%1.%2.%3.%4.%5.%6.%7."/>
        <w:lvlJc w:val="left"/>
        <w:pPr>
          <w:ind w:left="2029" w:hanging="1080"/>
        </w:pPr>
        <w:rPr>
          <w:rFonts w:hint="default"/>
        </w:rPr>
      </w:lvl>
    </w:lvlOverride>
    <w:lvlOverride w:ilvl="7">
      <w:lvl w:ilvl="7">
        <w:start w:val="1"/>
        <w:numFmt w:val="decimal"/>
        <w:pStyle w:val="Titre8"/>
        <w:lvlText w:val="%1.%2.%3.%4.%5.%6.%7.%8."/>
        <w:lvlJc w:val="left"/>
        <w:pPr>
          <w:ind w:left="2533" w:hanging="1224"/>
        </w:pPr>
        <w:rPr>
          <w:rFonts w:hint="default"/>
        </w:rPr>
      </w:lvl>
    </w:lvlOverride>
    <w:lvlOverride w:ilvl="8">
      <w:lvl w:ilvl="8">
        <w:start w:val="1"/>
        <w:numFmt w:val="decimal"/>
        <w:pStyle w:val="Titre9"/>
        <w:lvlText w:val="%1.%2.%3.%4.%5.%6.%7.%8.%9."/>
        <w:lvlJc w:val="left"/>
        <w:pPr>
          <w:ind w:left="3109" w:hanging="1440"/>
        </w:pPr>
        <w:rPr>
          <w:rFonts w:hint="default"/>
        </w:rPr>
      </w:lvl>
    </w:lvlOverride>
  </w:num>
  <w:num w:numId="41" w16cid:durableId="1202210652">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A7C"/>
    <w:rsid w:val="000018EC"/>
    <w:rsid w:val="00005456"/>
    <w:rsid w:val="00011885"/>
    <w:rsid w:val="0001364E"/>
    <w:rsid w:val="000141E9"/>
    <w:rsid w:val="00014310"/>
    <w:rsid w:val="000150BE"/>
    <w:rsid w:val="00023C19"/>
    <w:rsid w:val="00026ADD"/>
    <w:rsid w:val="00035858"/>
    <w:rsid w:val="00035C96"/>
    <w:rsid w:val="000520EE"/>
    <w:rsid w:val="000921A8"/>
    <w:rsid w:val="00093E42"/>
    <w:rsid w:val="00095235"/>
    <w:rsid w:val="000A1E44"/>
    <w:rsid w:val="000A47B2"/>
    <w:rsid w:val="000A47CF"/>
    <w:rsid w:val="000A5482"/>
    <w:rsid w:val="000A7D00"/>
    <w:rsid w:val="000B6D40"/>
    <w:rsid w:val="000C1F44"/>
    <w:rsid w:val="000C31E1"/>
    <w:rsid w:val="000D212F"/>
    <w:rsid w:val="000D4590"/>
    <w:rsid w:val="000D61EB"/>
    <w:rsid w:val="000E7BED"/>
    <w:rsid w:val="000F44AC"/>
    <w:rsid w:val="000F4C42"/>
    <w:rsid w:val="000F59C2"/>
    <w:rsid w:val="000F668F"/>
    <w:rsid w:val="000F749C"/>
    <w:rsid w:val="00103BD4"/>
    <w:rsid w:val="00106648"/>
    <w:rsid w:val="00124454"/>
    <w:rsid w:val="001277FA"/>
    <w:rsid w:val="001335E0"/>
    <w:rsid w:val="00136D41"/>
    <w:rsid w:val="001401F7"/>
    <w:rsid w:val="0014309E"/>
    <w:rsid w:val="0014470F"/>
    <w:rsid w:val="00151684"/>
    <w:rsid w:val="00161BE4"/>
    <w:rsid w:val="00170C10"/>
    <w:rsid w:val="001746D8"/>
    <w:rsid w:val="00186FF9"/>
    <w:rsid w:val="001A055B"/>
    <w:rsid w:val="001A51A4"/>
    <w:rsid w:val="001B0356"/>
    <w:rsid w:val="001B5535"/>
    <w:rsid w:val="001C480A"/>
    <w:rsid w:val="001E21ED"/>
    <w:rsid w:val="001E4FE1"/>
    <w:rsid w:val="001E5DC1"/>
    <w:rsid w:val="001F1FAB"/>
    <w:rsid w:val="001F43CA"/>
    <w:rsid w:val="001F5C0C"/>
    <w:rsid w:val="001F708E"/>
    <w:rsid w:val="001F7DEE"/>
    <w:rsid w:val="002077EE"/>
    <w:rsid w:val="002078A5"/>
    <w:rsid w:val="00211E04"/>
    <w:rsid w:val="002120E9"/>
    <w:rsid w:val="00212E55"/>
    <w:rsid w:val="00227C7C"/>
    <w:rsid w:val="00231776"/>
    <w:rsid w:val="00232C51"/>
    <w:rsid w:val="00241F4F"/>
    <w:rsid w:val="00245464"/>
    <w:rsid w:val="0025297E"/>
    <w:rsid w:val="0026499F"/>
    <w:rsid w:val="002654A9"/>
    <w:rsid w:val="00273194"/>
    <w:rsid w:val="0027596B"/>
    <w:rsid w:val="00287574"/>
    <w:rsid w:val="00291BE1"/>
    <w:rsid w:val="00293533"/>
    <w:rsid w:val="00296AB4"/>
    <w:rsid w:val="00296B9A"/>
    <w:rsid w:val="002A5C35"/>
    <w:rsid w:val="002A5CEB"/>
    <w:rsid w:val="002A6D14"/>
    <w:rsid w:val="002A7551"/>
    <w:rsid w:val="002A75A2"/>
    <w:rsid w:val="002B6159"/>
    <w:rsid w:val="002C520F"/>
    <w:rsid w:val="002F080C"/>
    <w:rsid w:val="002F144F"/>
    <w:rsid w:val="002F4713"/>
    <w:rsid w:val="003002A5"/>
    <w:rsid w:val="003010F6"/>
    <w:rsid w:val="003044DB"/>
    <w:rsid w:val="003065A3"/>
    <w:rsid w:val="003137BE"/>
    <w:rsid w:val="00316A06"/>
    <w:rsid w:val="0031744C"/>
    <w:rsid w:val="003174A8"/>
    <w:rsid w:val="003214EF"/>
    <w:rsid w:val="00322B2D"/>
    <w:rsid w:val="00334846"/>
    <w:rsid w:val="003425D1"/>
    <w:rsid w:val="003473B8"/>
    <w:rsid w:val="003571F5"/>
    <w:rsid w:val="003574A1"/>
    <w:rsid w:val="0036498C"/>
    <w:rsid w:val="003750E9"/>
    <w:rsid w:val="00377A44"/>
    <w:rsid w:val="00384B7E"/>
    <w:rsid w:val="00386EA8"/>
    <w:rsid w:val="00387B5C"/>
    <w:rsid w:val="003A6644"/>
    <w:rsid w:val="003A7BAC"/>
    <w:rsid w:val="003B5079"/>
    <w:rsid w:val="003B5D51"/>
    <w:rsid w:val="003B61B5"/>
    <w:rsid w:val="003B635D"/>
    <w:rsid w:val="003B78F1"/>
    <w:rsid w:val="003B7CF5"/>
    <w:rsid w:val="003C0229"/>
    <w:rsid w:val="003C34DB"/>
    <w:rsid w:val="003D1C9E"/>
    <w:rsid w:val="003D1DD4"/>
    <w:rsid w:val="003E166E"/>
    <w:rsid w:val="00404E07"/>
    <w:rsid w:val="004111B8"/>
    <w:rsid w:val="00421B06"/>
    <w:rsid w:val="00424950"/>
    <w:rsid w:val="004307E7"/>
    <w:rsid w:val="0043121E"/>
    <w:rsid w:val="00441D15"/>
    <w:rsid w:val="00442F54"/>
    <w:rsid w:val="00446182"/>
    <w:rsid w:val="004518C2"/>
    <w:rsid w:val="0045296A"/>
    <w:rsid w:val="004541F5"/>
    <w:rsid w:val="004561D1"/>
    <w:rsid w:val="00461441"/>
    <w:rsid w:val="00462818"/>
    <w:rsid w:val="004643B8"/>
    <w:rsid w:val="0047627D"/>
    <w:rsid w:val="00476EE8"/>
    <w:rsid w:val="004875C1"/>
    <w:rsid w:val="00490163"/>
    <w:rsid w:val="00491BA4"/>
    <w:rsid w:val="004937E3"/>
    <w:rsid w:val="004A4CBC"/>
    <w:rsid w:val="004B07D4"/>
    <w:rsid w:val="004B0D9E"/>
    <w:rsid w:val="004B1857"/>
    <w:rsid w:val="004B1F47"/>
    <w:rsid w:val="004B564A"/>
    <w:rsid w:val="004B5B50"/>
    <w:rsid w:val="004B6BFE"/>
    <w:rsid w:val="004C0125"/>
    <w:rsid w:val="004C1DA7"/>
    <w:rsid w:val="004C230C"/>
    <w:rsid w:val="004C7296"/>
    <w:rsid w:val="004C7D4D"/>
    <w:rsid w:val="004D4069"/>
    <w:rsid w:val="004D5D40"/>
    <w:rsid w:val="004E75FE"/>
    <w:rsid w:val="004F144F"/>
    <w:rsid w:val="004F1D79"/>
    <w:rsid w:val="004F6779"/>
    <w:rsid w:val="00503F42"/>
    <w:rsid w:val="0050567A"/>
    <w:rsid w:val="0051125C"/>
    <w:rsid w:val="00511D68"/>
    <w:rsid w:val="00512F6A"/>
    <w:rsid w:val="00515F4C"/>
    <w:rsid w:val="00524396"/>
    <w:rsid w:val="00524EE0"/>
    <w:rsid w:val="005346EE"/>
    <w:rsid w:val="00534982"/>
    <w:rsid w:val="0053571B"/>
    <w:rsid w:val="005362CF"/>
    <w:rsid w:val="00536772"/>
    <w:rsid w:val="00541D2B"/>
    <w:rsid w:val="0054255B"/>
    <w:rsid w:val="00542E2B"/>
    <w:rsid w:val="00550513"/>
    <w:rsid w:val="0055056D"/>
    <w:rsid w:val="00551D55"/>
    <w:rsid w:val="00561BF1"/>
    <w:rsid w:val="00563346"/>
    <w:rsid w:val="005639D6"/>
    <w:rsid w:val="00571B5A"/>
    <w:rsid w:val="005726DF"/>
    <w:rsid w:val="005729C5"/>
    <w:rsid w:val="00575E8E"/>
    <w:rsid w:val="00576FA3"/>
    <w:rsid w:val="00580DCB"/>
    <w:rsid w:val="00582A63"/>
    <w:rsid w:val="00583C02"/>
    <w:rsid w:val="0058506B"/>
    <w:rsid w:val="00587429"/>
    <w:rsid w:val="00591B37"/>
    <w:rsid w:val="00593DB2"/>
    <w:rsid w:val="00594AE0"/>
    <w:rsid w:val="00595032"/>
    <w:rsid w:val="005A5095"/>
    <w:rsid w:val="005B0896"/>
    <w:rsid w:val="005B1D41"/>
    <w:rsid w:val="005C0C22"/>
    <w:rsid w:val="005D39A0"/>
    <w:rsid w:val="005D41B4"/>
    <w:rsid w:val="005D6301"/>
    <w:rsid w:val="005E4EB9"/>
    <w:rsid w:val="005E6C1B"/>
    <w:rsid w:val="005F50B0"/>
    <w:rsid w:val="00605D86"/>
    <w:rsid w:val="00606801"/>
    <w:rsid w:val="0061021E"/>
    <w:rsid w:val="006125DC"/>
    <w:rsid w:val="006222D0"/>
    <w:rsid w:val="00624850"/>
    <w:rsid w:val="00625948"/>
    <w:rsid w:val="00626A38"/>
    <w:rsid w:val="00626B2C"/>
    <w:rsid w:val="00631930"/>
    <w:rsid w:val="00634A28"/>
    <w:rsid w:val="006357C7"/>
    <w:rsid w:val="00642407"/>
    <w:rsid w:val="00643EE2"/>
    <w:rsid w:val="00645E40"/>
    <w:rsid w:val="006461EA"/>
    <w:rsid w:val="0065098A"/>
    <w:rsid w:val="00650CEC"/>
    <w:rsid w:val="0065128B"/>
    <w:rsid w:val="0065456D"/>
    <w:rsid w:val="00654A88"/>
    <w:rsid w:val="0065715A"/>
    <w:rsid w:val="0065758F"/>
    <w:rsid w:val="00661448"/>
    <w:rsid w:val="00664173"/>
    <w:rsid w:val="006665FC"/>
    <w:rsid w:val="0066665C"/>
    <w:rsid w:val="00671885"/>
    <w:rsid w:val="0067332E"/>
    <w:rsid w:val="00674E6B"/>
    <w:rsid w:val="00682578"/>
    <w:rsid w:val="00682A11"/>
    <w:rsid w:val="00687545"/>
    <w:rsid w:val="00690697"/>
    <w:rsid w:val="00691549"/>
    <w:rsid w:val="006944AA"/>
    <w:rsid w:val="00697216"/>
    <w:rsid w:val="006A0380"/>
    <w:rsid w:val="006A1EED"/>
    <w:rsid w:val="006A6D22"/>
    <w:rsid w:val="006A7D42"/>
    <w:rsid w:val="006B06E6"/>
    <w:rsid w:val="006B5509"/>
    <w:rsid w:val="006C337F"/>
    <w:rsid w:val="006C4E8E"/>
    <w:rsid w:val="006C5347"/>
    <w:rsid w:val="006C7FF1"/>
    <w:rsid w:val="006D32A6"/>
    <w:rsid w:val="006E518E"/>
    <w:rsid w:val="006E776E"/>
    <w:rsid w:val="006F0538"/>
    <w:rsid w:val="006F2F94"/>
    <w:rsid w:val="006F62F7"/>
    <w:rsid w:val="007003A5"/>
    <w:rsid w:val="00700509"/>
    <w:rsid w:val="007020C1"/>
    <w:rsid w:val="0070766F"/>
    <w:rsid w:val="007159B2"/>
    <w:rsid w:val="00717634"/>
    <w:rsid w:val="007176C9"/>
    <w:rsid w:val="00723497"/>
    <w:rsid w:val="007306EE"/>
    <w:rsid w:val="00731697"/>
    <w:rsid w:val="00734EBE"/>
    <w:rsid w:val="007358CF"/>
    <w:rsid w:val="00737EBB"/>
    <w:rsid w:val="00746FDF"/>
    <w:rsid w:val="00751A44"/>
    <w:rsid w:val="00755F47"/>
    <w:rsid w:val="0076026A"/>
    <w:rsid w:val="007700C6"/>
    <w:rsid w:val="00770CBF"/>
    <w:rsid w:val="0077308A"/>
    <w:rsid w:val="007737D4"/>
    <w:rsid w:val="007763B5"/>
    <w:rsid w:val="00780190"/>
    <w:rsid w:val="00787591"/>
    <w:rsid w:val="007937F8"/>
    <w:rsid w:val="00795B13"/>
    <w:rsid w:val="007A2D90"/>
    <w:rsid w:val="007A38DC"/>
    <w:rsid w:val="007A7D05"/>
    <w:rsid w:val="007B01F8"/>
    <w:rsid w:val="007B0A96"/>
    <w:rsid w:val="007B47AB"/>
    <w:rsid w:val="007B6E81"/>
    <w:rsid w:val="007C16E6"/>
    <w:rsid w:val="007C2731"/>
    <w:rsid w:val="007C36F6"/>
    <w:rsid w:val="007C5CE8"/>
    <w:rsid w:val="007D020A"/>
    <w:rsid w:val="007D056E"/>
    <w:rsid w:val="007D16A5"/>
    <w:rsid w:val="007D2D98"/>
    <w:rsid w:val="007E1047"/>
    <w:rsid w:val="007E241D"/>
    <w:rsid w:val="007E5B06"/>
    <w:rsid w:val="007F265D"/>
    <w:rsid w:val="007F5321"/>
    <w:rsid w:val="00807184"/>
    <w:rsid w:val="00813C1E"/>
    <w:rsid w:val="00817847"/>
    <w:rsid w:val="0083364A"/>
    <w:rsid w:val="00836462"/>
    <w:rsid w:val="00837688"/>
    <w:rsid w:val="008420CE"/>
    <w:rsid w:val="0084419B"/>
    <w:rsid w:val="00845982"/>
    <w:rsid w:val="008520D8"/>
    <w:rsid w:val="00861422"/>
    <w:rsid w:val="00862ED3"/>
    <w:rsid w:val="00865CBF"/>
    <w:rsid w:val="00867A6F"/>
    <w:rsid w:val="008725D9"/>
    <w:rsid w:val="008751DE"/>
    <w:rsid w:val="008848B2"/>
    <w:rsid w:val="00894814"/>
    <w:rsid w:val="008A12E9"/>
    <w:rsid w:val="008A1E73"/>
    <w:rsid w:val="008A2CC5"/>
    <w:rsid w:val="008A6F84"/>
    <w:rsid w:val="008B2499"/>
    <w:rsid w:val="008B67E9"/>
    <w:rsid w:val="008B6A30"/>
    <w:rsid w:val="008C0EB5"/>
    <w:rsid w:val="008C34A8"/>
    <w:rsid w:val="008E1570"/>
    <w:rsid w:val="008E584B"/>
    <w:rsid w:val="008F0070"/>
    <w:rsid w:val="008F1CD6"/>
    <w:rsid w:val="008F2861"/>
    <w:rsid w:val="008F6E5B"/>
    <w:rsid w:val="00901796"/>
    <w:rsid w:val="0091028E"/>
    <w:rsid w:val="00923C7F"/>
    <w:rsid w:val="00931C8C"/>
    <w:rsid w:val="00933195"/>
    <w:rsid w:val="00935FA3"/>
    <w:rsid w:val="0094123E"/>
    <w:rsid w:val="00942658"/>
    <w:rsid w:val="0094571F"/>
    <w:rsid w:val="00950AFB"/>
    <w:rsid w:val="00955C85"/>
    <w:rsid w:val="00955D11"/>
    <w:rsid w:val="009572CA"/>
    <w:rsid w:val="009720EF"/>
    <w:rsid w:val="009756BC"/>
    <w:rsid w:val="009770B2"/>
    <w:rsid w:val="00980241"/>
    <w:rsid w:val="0098248D"/>
    <w:rsid w:val="00982E6D"/>
    <w:rsid w:val="00992516"/>
    <w:rsid w:val="00997D00"/>
    <w:rsid w:val="009A2190"/>
    <w:rsid w:val="009A2718"/>
    <w:rsid w:val="009A2BC6"/>
    <w:rsid w:val="009A6CC3"/>
    <w:rsid w:val="009C05DD"/>
    <w:rsid w:val="009C103C"/>
    <w:rsid w:val="009C1344"/>
    <w:rsid w:val="009C2D75"/>
    <w:rsid w:val="009C5F66"/>
    <w:rsid w:val="009D0101"/>
    <w:rsid w:val="009D317E"/>
    <w:rsid w:val="009D4BA3"/>
    <w:rsid w:val="009D60E7"/>
    <w:rsid w:val="009D6EAA"/>
    <w:rsid w:val="009D708C"/>
    <w:rsid w:val="009E0402"/>
    <w:rsid w:val="009E20DD"/>
    <w:rsid w:val="009E275F"/>
    <w:rsid w:val="009F4646"/>
    <w:rsid w:val="009F526B"/>
    <w:rsid w:val="009F5595"/>
    <w:rsid w:val="00A03963"/>
    <w:rsid w:val="00A058B7"/>
    <w:rsid w:val="00A05F4A"/>
    <w:rsid w:val="00A10B14"/>
    <w:rsid w:val="00A10E44"/>
    <w:rsid w:val="00A13074"/>
    <w:rsid w:val="00A1429B"/>
    <w:rsid w:val="00A27CF8"/>
    <w:rsid w:val="00A305E6"/>
    <w:rsid w:val="00A34E35"/>
    <w:rsid w:val="00A43F83"/>
    <w:rsid w:val="00A449A4"/>
    <w:rsid w:val="00A50849"/>
    <w:rsid w:val="00A5390A"/>
    <w:rsid w:val="00A5602E"/>
    <w:rsid w:val="00A611ED"/>
    <w:rsid w:val="00A64E98"/>
    <w:rsid w:val="00A65141"/>
    <w:rsid w:val="00A744A2"/>
    <w:rsid w:val="00A765F0"/>
    <w:rsid w:val="00A8524D"/>
    <w:rsid w:val="00A8707D"/>
    <w:rsid w:val="00A93384"/>
    <w:rsid w:val="00AA263B"/>
    <w:rsid w:val="00AA540F"/>
    <w:rsid w:val="00AB0DEF"/>
    <w:rsid w:val="00AB1AC6"/>
    <w:rsid w:val="00AB7E42"/>
    <w:rsid w:val="00AC3B12"/>
    <w:rsid w:val="00AC7F67"/>
    <w:rsid w:val="00AD048F"/>
    <w:rsid w:val="00AD11F4"/>
    <w:rsid w:val="00AD3E47"/>
    <w:rsid w:val="00AD78F9"/>
    <w:rsid w:val="00AE6065"/>
    <w:rsid w:val="00AF09A0"/>
    <w:rsid w:val="00B06E66"/>
    <w:rsid w:val="00B138C6"/>
    <w:rsid w:val="00B1652C"/>
    <w:rsid w:val="00B22B3F"/>
    <w:rsid w:val="00B2615A"/>
    <w:rsid w:val="00B32C58"/>
    <w:rsid w:val="00B3783A"/>
    <w:rsid w:val="00B4032C"/>
    <w:rsid w:val="00B4377E"/>
    <w:rsid w:val="00B450E8"/>
    <w:rsid w:val="00B536EF"/>
    <w:rsid w:val="00B563E9"/>
    <w:rsid w:val="00B625F0"/>
    <w:rsid w:val="00B6612C"/>
    <w:rsid w:val="00B66987"/>
    <w:rsid w:val="00B72495"/>
    <w:rsid w:val="00B741EE"/>
    <w:rsid w:val="00B80AC3"/>
    <w:rsid w:val="00B82398"/>
    <w:rsid w:val="00B85E1A"/>
    <w:rsid w:val="00B92DDC"/>
    <w:rsid w:val="00B97293"/>
    <w:rsid w:val="00B9779F"/>
    <w:rsid w:val="00BA714A"/>
    <w:rsid w:val="00BA7F5E"/>
    <w:rsid w:val="00BB2792"/>
    <w:rsid w:val="00BC5451"/>
    <w:rsid w:val="00BD00C2"/>
    <w:rsid w:val="00BD589B"/>
    <w:rsid w:val="00BD7BAD"/>
    <w:rsid w:val="00BE3A6F"/>
    <w:rsid w:val="00BE3F30"/>
    <w:rsid w:val="00BF3B81"/>
    <w:rsid w:val="00BF5810"/>
    <w:rsid w:val="00BF67EF"/>
    <w:rsid w:val="00C02F42"/>
    <w:rsid w:val="00C32726"/>
    <w:rsid w:val="00C360AA"/>
    <w:rsid w:val="00C373E7"/>
    <w:rsid w:val="00C421E6"/>
    <w:rsid w:val="00C4415B"/>
    <w:rsid w:val="00C45018"/>
    <w:rsid w:val="00C501FF"/>
    <w:rsid w:val="00C5588C"/>
    <w:rsid w:val="00C64F61"/>
    <w:rsid w:val="00C74893"/>
    <w:rsid w:val="00C8011E"/>
    <w:rsid w:val="00C86F3C"/>
    <w:rsid w:val="00C91178"/>
    <w:rsid w:val="00C9529B"/>
    <w:rsid w:val="00C9560B"/>
    <w:rsid w:val="00C9607D"/>
    <w:rsid w:val="00CA0697"/>
    <w:rsid w:val="00CA4214"/>
    <w:rsid w:val="00CB1EDA"/>
    <w:rsid w:val="00CB7473"/>
    <w:rsid w:val="00CC4E93"/>
    <w:rsid w:val="00CD2085"/>
    <w:rsid w:val="00CD4449"/>
    <w:rsid w:val="00CD4504"/>
    <w:rsid w:val="00CD7BE0"/>
    <w:rsid w:val="00CE1C6C"/>
    <w:rsid w:val="00CE5EED"/>
    <w:rsid w:val="00CE7F05"/>
    <w:rsid w:val="00CF1A22"/>
    <w:rsid w:val="00CF27E7"/>
    <w:rsid w:val="00CF7803"/>
    <w:rsid w:val="00CF7A52"/>
    <w:rsid w:val="00CF7C5D"/>
    <w:rsid w:val="00CF7F4C"/>
    <w:rsid w:val="00D00287"/>
    <w:rsid w:val="00D07C5C"/>
    <w:rsid w:val="00D121DA"/>
    <w:rsid w:val="00D12244"/>
    <w:rsid w:val="00D13DC0"/>
    <w:rsid w:val="00D17016"/>
    <w:rsid w:val="00D17EB8"/>
    <w:rsid w:val="00D208D4"/>
    <w:rsid w:val="00D23C15"/>
    <w:rsid w:val="00D26C58"/>
    <w:rsid w:val="00D33572"/>
    <w:rsid w:val="00D34171"/>
    <w:rsid w:val="00D37384"/>
    <w:rsid w:val="00D4151C"/>
    <w:rsid w:val="00D41FC6"/>
    <w:rsid w:val="00D428BC"/>
    <w:rsid w:val="00D44D26"/>
    <w:rsid w:val="00D44EFA"/>
    <w:rsid w:val="00D457CB"/>
    <w:rsid w:val="00D477C6"/>
    <w:rsid w:val="00D47C28"/>
    <w:rsid w:val="00D52910"/>
    <w:rsid w:val="00D55CF5"/>
    <w:rsid w:val="00D57B5C"/>
    <w:rsid w:val="00D61233"/>
    <w:rsid w:val="00D66F41"/>
    <w:rsid w:val="00D70AFB"/>
    <w:rsid w:val="00D731E1"/>
    <w:rsid w:val="00D7385D"/>
    <w:rsid w:val="00D75057"/>
    <w:rsid w:val="00D75723"/>
    <w:rsid w:val="00D76674"/>
    <w:rsid w:val="00D773E7"/>
    <w:rsid w:val="00D80864"/>
    <w:rsid w:val="00D862F0"/>
    <w:rsid w:val="00D91933"/>
    <w:rsid w:val="00D95EF0"/>
    <w:rsid w:val="00D96581"/>
    <w:rsid w:val="00DA03DC"/>
    <w:rsid w:val="00DA112C"/>
    <w:rsid w:val="00DA2BD7"/>
    <w:rsid w:val="00DA563B"/>
    <w:rsid w:val="00DB07DE"/>
    <w:rsid w:val="00DB0DA7"/>
    <w:rsid w:val="00DB78BE"/>
    <w:rsid w:val="00DC5F4F"/>
    <w:rsid w:val="00DD04BE"/>
    <w:rsid w:val="00DD14B0"/>
    <w:rsid w:val="00DD3023"/>
    <w:rsid w:val="00DD5BEC"/>
    <w:rsid w:val="00DE072A"/>
    <w:rsid w:val="00DE14B6"/>
    <w:rsid w:val="00DE2E0C"/>
    <w:rsid w:val="00DE51FE"/>
    <w:rsid w:val="00DE7BAA"/>
    <w:rsid w:val="00DF29EC"/>
    <w:rsid w:val="00E00B51"/>
    <w:rsid w:val="00E012B8"/>
    <w:rsid w:val="00E031B4"/>
    <w:rsid w:val="00E051A3"/>
    <w:rsid w:val="00E07BF7"/>
    <w:rsid w:val="00E10270"/>
    <w:rsid w:val="00E115CB"/>
    <w:rsid w:val="00E11BBE"/>
    <w:rsid w:val="00E17209"/>
    <w:rsid w:val="00E17BB0"/>
    <w:rsid w:val="00E23E26"/>
    <w:rsid w:val="00E31800"/>
    <w:rsid w:val="00E35B21"/>
    <w:rsid w:val="00E37790"/>
    <w:rsid w:val="00E4117B"/>
    <w:rsid w:val="00E413BE"/>
    <w:rsid w:val="00E43417"/>
    <w:rsid w:val="00E44E4E"/>
    <w:rsid w:val="00E461D1"/>
    <w:rsid w:val="00E4703F"/>
    <w:rsid w:val="00E47817"/>
    <w:rsid w:val="00E47E3B"/>
    <w:rsid w:val="00E619EB"/>
    <w:rsid w:val="00E635DF"/>
    <w:rsid w:val="00E64F0F"/>
    <w:rsid w:val="00E655F6"/>
    <w:rsid w:val="00E65651"/>
    <w:rsid w:val="00E664F9"/>
    <w:rsid w:val="00E6661C"/>
    <w:rsid w:val="00E67F43"/>
    <w:rsid w:val="00E752E4"/>
    <w:rsid w:val="00E85C7F"/>
    <w:rsid w:val="00E85F7B"/>
    <w:rsid w:val="00E862D3"/>
    <w:rsid w:val="00E90703"/>
    <w:rsid w:val="00E94CEA"/>
    <w:rsid w:val="00E95316"/>
    <w:rsid w:val="00E960C3"/>
    <w:rsid w:val="00EB3878"/>
    <w:rsid w:val="00EB4859"/>
    <w:rsid w:val="00EC0E0C"/>
    <w:rsid w:val="00EC7920"/>
    <w:rsid w:val="00EE205B"/>
    <w:rsid w:val="00EE47D4"/>
    <w:rsid w:val="00EE5F87"/>
    <w:rsid w:val="00EF444D"/>
    <w:rsid w:val="00EF5815"/>
    <w:rsid w:val="00EF7C74"/>
    <w:rsid w:val="00F074D2"/>
    <w:rsid w:val="00F074F9"/>
    <w:rsid w:val="00F152BF"/>
    <w:rsid w:val="00F1591B"/>
    <w:rsid w:val="00F222CC"/>
    <w:rsid w:val="00F23652"/>
    <w:rsid w:val="00F261F5"/>
    <w:rsid w:val="00F269DE"/>
    <w:rsid w:val="00F36B43"/>
    <w:rsid w:val="00F40DB0"/>
    <w:rsid w:val="00F429F2"/>
    <w:rsid w:val="00F44FE9"/>
    <w:rsid w:val="00F5754D"/>
    <w:rsid w:val="00F62F3F"/>
    <w:rsid w:val="00F640DE"/>
    <w:rsid w:val="00F71EDB"/>
    <w:rsid w:val="00F80E81"/>
    <w:rsid w:val="00F8319D"/>
    <w:rsid w:val="00F8469B"/>
    <w:rsid w:val="00F9359E"/>
    <w:rsid w:val="00FA091B"/>
    <w:rsid w:val="00FA0B78"/>
    <w:rsid w:val="00FA1A7C"/>
    <w:rsid w:val="00FA698F"/>
    <w:rsid w:val="00FA7033"/>
    <w:rsid w:val="00FB0049"/>
    <w:rsid w:val="00FB30E5"/>
    <w:rsid w:val="00FB4ED5"/>
    <w:rsid w:val="00FB5080"/>
    <w:rsid w:val="00FB76CA"/>
    <w:rsid w:val="00FC5C64"/>
    <w:rsid w:val="00FC5D7B"/>
    <w:rsid w:val="00FC6F75"/>
    <w:rsid w:val="00FD4213"/>
    <w:rsid w:val="00FE105C"/>
    <w:rsid w:val="00FE2FC0"/>
    <w:rsid w:val="00FE781A"/>
    <w:rsid w:val="00FF16FC"/>
    <w:rsid w:val="00FF6731"/>
    <w:rsid w:val="00FF7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2A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A7C"/>
    <w:pPr>
      <w:spacing w:before="120" w:after="240"/>
      <w:jc w:val="both"/>
    </w:pPr>
    <w:rPr>
      <w:rFonts w:ascii="Arial" w:eastAsiaTheme="minorEastAsia" w:hAnsi="Arial"/>
      <w:color w:val="808080" w:themeColor="background1" w:themeShade="80"/>
      <w:sz w:val="22"/>
      <w:lang w:eastAsia="ja-JP"/>
    </w:rPr>
  </w:style>
  <w:style w:type="paragraph" w:styleId="Titre1">
    <w:name w:val="heading 1"/>
    <w:basedOn w:val="Normal"/>
    <w:next w:val="Normal"/>
    <w:link w:val="Titre1Car"/>
    <w:autoRedefine/>
    <w:uiPriority w:val="9"/>
    <w:qFormat/>
    <w:rsid w:val="00334846"/>
    <w:pPr>
      <w:keepNext/>
      <w:keepLines/>
      <w:numPr>
        <w:numId w:val="6"/>
      </w:numPr>
      <w:jc w:val="left"/>
      <w:outlineLvl w:val="0"/>
    </w:pPr>
    <w:rPr>
      <w:rFonts w:eastAsiaTheme="majorEastAsia" w:cstheme="majorBidi"/>
      <w:b/>
      <w:color w:val="44546A" w:themeColor="text2"/>
      <w:sz w:val="24"/>
      <w:szCs w:val="32"/>
      <w:lang w:eastAsia="en-US"/>
    </w:rPr>
  </w:style>
  <w:style w:type="paragraph" w:styleId="Titre2">
    <w:name w:val="heading 2"/>
    <w:basedOn w:val="Normal"/>
    <w:next w:val="Normal"/>
    <w:link w:val="Titre2Car"/>
    <w:autoRedefine/>
    <w:uiPriority w:val="9"/>
    <w:unhideWhenUsed/>
    <w:qFormat/>
    <w:rsid w:val="00334846"/>
    <w:pPr>
      <w:keepNext/>
      <w:keepLines/>
      <w:numPr>
        <w:ilvl w:val="1"/>
        <w:numId w:val="17"/>
      </w:numPr>
      <w:ind w:left="720" w:hanging="720"/>
      <w:jc w:val="left"/>
      <w:outlineLvl w:val="1"/>
    </w:pPr>
    <w:rPr>
      <w:rFonts w:eastAsiaTheme="majorEastAsia" w:cstheme="majorBidi"/>
      <w:b/>
      <w:color w:val="44546A" w:themeColor="text2"/>
      <w:szCs w:val="26"/>
      <w:lang w:eastAsia="en-US"/>
    </w:rPr>
  </w:style>
  <w:style w:type="paragraph" w:styleId="Titre3">
    <w:name w:val="heading 3"/>
    <w:basedOn w:val="Normal"/>
    <w:next w:val="Normal"/>
    <w:link w:val="Titre3Car"/>
    <w:autoRedefine/>
    <w:uiPriority w:val="9"/>
    <w:unhideWhenUsed/>
    <w:qFormat/>
    <w:rsid w:val="00955C85"/>
    <w:pPr>
      <w:keepNext/>
      <w:keepLines/>
      <w:numPr>
        <w:ilvl w:val="2"/>
        <w:numId w:val="17"/>
      </w:numPr>
      <w:ind w:left="1440" w:hanging="1440"/>
      <w:jc w:val="left"/>
      <w:outlineLvl w:val="2"/>
    </w:pPr>
    <w:rPr>
      <w:rFonts w:eastAsiaTheme="majorEastAsia" w:cstheme="majorBidi"/>
      <w:b/>
      <w:bCs/>
      <w:color w:val="44546A" w:themeColor="text2"/>
    </w:rPr>
  </w:style>
  <w:style w:type="paragraph" w:styleId="Titre4">
    <w:name w:val="heading 4"/>
    <w:basedOn w:val="Normal"/>
    <w:next w:val="Normal"/>
    <w:link w:val="Titre4Car"/>
    <w:uiPriority w:val="9"/>
    <w:semiHidden/>
    <w:unhideWhenUsed/>
    <w:qFormat/>
    <w:rsid w:val="002A7551"/>
    <w:pPr>
      <w:keepNext/>
      <w:keepLines/>
      <w:numPr>
        <w:ilvl w:val="3"/>
        <w:numId w:val="1"/>
      </w:numPr>
      <w:spacing w:before="40" w:after="0"/>
      <w:ind w:left="2160" w:hanging="1026"/>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2A7551"/>
    <w:pPr>
      <w:keepNext/>
      <w:keepLines/>
      <w:numPr>
        <w:ilvl w:val="4"/>
        <w:numId w:val="1"/>
      </w:numPr>
      <w:spacing w:before="40" w:after="0"/>
      <w:ind w:left="2880" w:firstLine="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2A7551"/>
    <w:pPr>
      <w:keepNext/>
      <w:keepLines/>
      <w:numPr>
        <w:ilvl w:val="5"/>
        <w:numId w:val="1"/>
      </w:numPr>
      <w:spacing w:before="40" w:after="0"/>
      <w:ind w:left="3600" w:firstLine="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2A7551"/>
    <w:pPr>
      <w:keepNext/>
      <w:keepLines/>
      <w:numPr>
        <w:ilvl w:val="6"/>
        <w:numId w:val="1"/>
      </w:numPr>
      <w:spacing w:before="40" w:after="0"/>
      <w:ind w:left="4320" w:firstLine="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2A7551"/>
    <w:pPr>
      <w:keepNext/>
      <w:keepLines/>
      <w:numPr>
        <w:ilvl w:val="7"/>
        <w:numId w:val="1"/>
      </w:numPr>
      <w:spacing w:before="40" w:after="0"/>
      <w:ind w:left="5040" w:firstLine="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A7551"/>
    <w:pPr>
      <w:keepNext/>
      <w:keepLines/>
      <w:numPr>
        <w:ilvl w:val="8"/>
        <w:numId w:val="1"/>
      </w:numPr>
      <w:spacing w:before="40" w:after="0"/>
      <w:ind w:left="5760" w:firstLine="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34846"/>
    <w:rPr>
      <w:rFonts w:ascii="Arial" w:eastAsiaTheme="majorEastAsia" w:hAnsi="Arial" w:cstheme="majorBidi"/>
      <w:b/>
      <w:color w:val="44546A" w:themeColor="text2"/>
      <w:szCs w:val="32"/>
    </w:rPr>
  </w:style>
  <w:style w:type="paragraph" w:styleId="Explorateurdedocuments">
    <w:name w:val="Document Map"/>
    <w:basedOn w:val="Normal"/>
    <w:link w:val="ExplorateurdedocumentsCar"/>
    <w:uiPriority w:val="99"/>
    <w:semiHidden/>
    <w:unhideWhenUsed/>
    <w:rsid w:val="00FA1A7C"/>
    <w:rPr>
      <w:rFonts w:ascii="Times New Roman" w:hAnsi="Times New Roman" w:cs="Times New Roman"/>
    </w:rPr>
  </w:style>
  <w:style w:type="character" w:customStyle="1" w:styleId="ExplorateurdedocumentsCar">
    <w:name w:val="Explorateur de documents Car"/>
    <w:basedOn w:val="Policepardfaut"/>
    <w:link w:val="Explorateurdedocuments"/>
    <w:uiPriority w:val="99"/>
    <w:semiHidden/>
    <w:rsid w:val="00FA1A7C"/>
    <w:rPr>
      <w:rFonts w:ascii="Times New Roman" w:hAnsi="Times New Roman" w:cs="Times New Roman"/>
    </w:rPr>
  </w:style>
  <w:style w:type="character" w:customStyle="1" w:styleId="Titre2Car">
    <w:name w:val="Titre 2 Car"/>
    <w:basedOn w:val="Policepardfaut"/>
    <w:link w:val="Titre2"/>
    <w:uiPriority w:val="9"/>
    <w:rsid w:val="00334846"/>
    <w:rPr>
      <w:rFonts w:ascii="Arial" w:eastAsiaTheme="majorEastAsia" w:hAnsi="Arial" w:cstheme="majorBidi"/>
      <w:b/>
      <w:color w:val="44546A" w:themeColor="text2"/>
      <w:sz w:val="22"/>
      <w:szCs w:val="26"/>
    </w:rPr>
  </w:style>
  <w:style w:type="character" w:customStyle="1" w:styleId="Titre3Car">
    <w:name w:val="Titre 3 Car"/>
    <w:basedOn w:val="Policepardfaut"/>
    <w:link w:val="Titre3"/>
    <w:uiPriority w:val="9"/>
    <w:rsid w:val="00955C85"/>
    <w:rPr>
      <w:rFonts w:ascii="Arial" w:eastAsiaTheme="majorEastAsia" w:hAnsi="Arial" w:cstheme="majorBidi"/>
      <w:b/>
      <w:bCs/>
      <w:color w:val="44546A" w:themeColor="text2"/>
      <w:sz w:val="22"/>
      <w:lang w:eastAsia="ja-JP"/>
    </w:rPr>
  </w:style>
  <w:style w:type="paragraph" w:styleId="En-tte">
    <w:name w:val="header"/>
    <w:basedOn w:val="Normal"/>
    <w:link w:val="En-tteCar"/>
    <w:uiPriority w:val="99"/>
    <w:unhideWhenUsed/>
    <w:qFormat/>
    <w:rsid w:val="00FA1A7C"/>
    <w:pPr>
      <w:spacing w:after="120"/>
    </w:pPr>
    <w:rPr>
      <w:b/>
      <w:bCs/>
      <w:color w:val="303A3F"/>
    </w:rPr>
  </w:style>
  <w:style w:type="character" w:customStyle="1" w:styleId="En-tteCar">
    <w:name w:val="En-tête Car"/>
    <w:basedOn w:val="Policepardfaut"/>
    <w:link w:val="En-tte"/>
    <w:uiPriority w:val="99"/>
    <w:rsid w:val="00FA1A7C"/>
    <w:rPr>
      <w:rFonts w:ascii="Arial" w:eastAsiaTheme="minorEastAsia" w:hAnsi="Arial"/>
      <w:b/>
      <w:bCs/>
      <w:color w:val="303A3F"/>
      <w:sz w:val="22"/>
      <w:lang w:eastAsia="ja-JP"/>
    </w:rPr>
  </w:style>
  <w:style w:type="paragraph" w:styleId="Pieddepage">
    <w:name w:val="footer"/>
    <w:basedOn w:val="Normal"/>
    <w:link w:val="PieddepageCar"/>
    <w:uiPriority w:val="99"/>
    <w:unhideWhenUsed/>
    <w:qFormat/>
    <w:rsid w:val="004F144F"/>
    <w:pPr>
      <w:tabs>
        <w:tab w:val="center" w:pos="4536"/>
        <w:tab w:val="right" w:pos="9781"/>
      </w:tabs>
    </w:pPr>
    <w:rPr>
      <w:sz w:val="18"/>
    </w:rPr>
  </w:style>
  <w:style w:type="character" w:customStyle="1" w:styleId="PieddepageCar">
    <w:name w:val="Pied de page Car"/>
    <w:basedOn w:val="Policepardfaut"/>
    <w:link w:val="Pieddepage"/>
    <w:uiPriority w:val="99"/>
    <w:rsid w:val="004F144F"/>
    <w:rPr>
      <w:rFonts w:ascii="Arial" w:eastAsiaTheme="minorEastAsia" w:hAnsi="Arial"/>
      <w:color w:val="808080" w:themeColor="background1" w:themeShade="80"/>
      <w:sz w:val="18"/>
      <w:lang w:eastAsia="ja-JP"/>
    </w:rPr>
  </w:style>
  <w:style w:type="character" w:styleId="Numrodepage">
    <w:name w:val="page number"/>
    <w:basedOn w:val="Policepardfaut"/>
    <w:uiPriority w:val="99"/>
    <w:semiHidden/>
    <w:unhideWhenUsed/>
    <w:rsid w:val="00FA1A7C"/>
  </w:style>
  <w:style w:type="paragraph" w:customStyle="1" w:styleId="SignatureKlima-Agence">
    <w:name w:val="Signature Klima-Agence"/>
    <w:basedOn w:val="Normal"/>
    <w:autoRedefine/>
    <w:qFormat/>
    <w:rsid w:val="000150BE"/>
    <w:pPr>
      <w:jc w:val="left"/>
    </w:pPr>
    <w:rPr>
      <w:b/>
      <w:color w:val="44546A" w:themeColor="text2"/>
      <w:sz w:val="28"/>
    </w:rPr>
  </w:style>
  <w:style w:type="table" w:styleId="Grilledutableau">
    <w:name w:val="Table Grid"/>
    <w:basedOn w:val="TableauNormal"/>
    <w:uiPriority w:val="39"/>
    <w:rsid w:val="00FA1A7C"/>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autoRedefine/>
    <w:uiPriority w:val="10"/>
    <w:qFormat/>
    <w:rsid w:val="00334846"/>
    <w:pPr>
      <w:jc w:val="left"/>
      <w:outlineLvl w:val="0"/>
    </w:pPr>
    <w:rPr>
      <w:b/>
      <w:color w:val="44546A" w:themeColor="text2"/>
      <w:sz w:val="28"/>
      <w:szCs w:val="28"/>
    </w:rPr>
  </w:style>
  <w:style w:type="character" w:customStyle="1" w:styleId="TitreCar">
    <w:name w:val="Titre Car"/>
    <w:basedOn w:val="Policepardfaut"/>
    <w:link w:val="Titre"/>
    <w:uiPriority w:val="10"/>
    <w:rsid w:val="00334846"/>
    <w:rPr>
      <w:rFonts w:ascii="Arial" w:eastAsiaTheme="minorEastAsia" w:hAnsi="Arial"/>
      <w:b/>
      <w:color w:val="44546A" w:themeColor="text2"/>
      <w:sz w:val="28"/>
      <w:szCs w:val="28"/>
      <w:lang w:eastAsia="ja-JP"/>
    </w:rPr>
  </w:style>
  <w:style w:type="paragraph" w:styleId="En-ttedetabledesmatires">
    <w:name w:val="TOC Heading"/>
    <w:basedOn w:val="Titre1"/>
    <w:next w:val="Normal"/>
    <w:autoRedefine/>
    <w:uiPriority w:val="39"/>
    <w:unhideWhenUsed/>
    <w:qFormat/>
    <w:rsid w:val="000150BE"/>
    <w:pPr>
      <w:spacing w:before="480" w:after="0" w:line="276" w:lineRule="auto"/>
      <w:outlineLvl w:val="9"/>
    </w:pPr>
    <w:rPr>
      <w:bCs/>
      <w:sz w:val="28"/>
      <w:szCs w:val="28"/>
    </w:rPr>
  </w:style>
  <w:style w:type="paragraph" w:styleId="TM1">
    <w:name w:val="toc 1"/>
    <w:basedOn w:val="Normal"/>
    <w:next w:val="Normal"/>
    <w:autoRedefine/>
    <w:uiPriority w:val="39"/>
    <w:unhideWhenUsed/>
    <w:qFormat/>
    <w:rsid w:val="000150BE"/>
    <w:pPr>
      <w:tabs>
        <w:tab w:val="right" w:leader="dot" w:pos="9771"/>
      </w:tabs>
      <w:spacing w:after="120"/>
      <w:jc w:val="left"/>
    </w:pPr>
    <w:rPr>
      <w:b/>
      <w:color w:val="44546A" w:themeColor="text2"/>
      <w:sz w:val="24"/>
      <w:szCs w:val="22"/>
    </w:rPr>
  </w:style>
  <w:style w:type="paragraph" w:styleId="TM2">
    <w:name w:val="toc 2"/>
    <w:basedOn w:val="Normal"/>
    <w:next w:val="Normal"/>
    <w:autoRedefine/>
    <w:uiPriority w:val="39"/>
    <w:unhideWhenUsed/>
    <w:qFormat/>
    <w:rsid w:val="000150BE"/>
    <w:pPr>
      <w:tabs>
        <w:tab w:val="left" w:pos="660"/>
        <w:tab w:val="right" w:pos="9771"/>
      </w:tabs>
      <w:spacing w:after="120"/>
      <w:jc w:val="left"/>
    </w:pPr>
    <w:rPr>
      <w:b/>
      <w:color w:val="44546A" w:themeColor="text2"/>
      <w:szCs w:val="22"/>
    </w:rPr>
  </w:style>
  <w:style w:type="character" w:styleId="Lienhypertexte">
    <w:name w:val="Hyperlink"/>
    <w:basedOn w:val="Policepardfaut"/>
    <w:uiPriority w:val="99"/>
    <w:unhideWhenUsed/>
    <w:rsid w:val="00D76674"/>
    <w:rPr>
      <w:color w:val="0563C1" w:themeColor="hyperlink"/>
      <w:u w:val="single"/>
    </w:rPr>
  </w:style>
  <w:style w:type="paragraph" w:styleId="TM3">
    <w:name w:val="toc 3"/>
    <w:basedOn w:val="Normal"/>
    <w:next w:val="Normal"/>
    <w:autoRedefine/>
    <w:uiPriority w:val="39"/>
    <w:unhideWhenUsed/>
    <w:rsid w:val="000150BE"/>
    <w:pPr>
      <w:tabs>
        <w:tab w:val="left" w:pos="709"/>
        <w:tab w:val="left" w:pos="1100"/>
        <w:tab w:val="right" w:pos="9771"/>
      </w:tabs>
      <w:spacing w:after="120"/>
      <w:ind w:left="442"/>
      <w:jc w:val="left"/>
    </w:pPr>
    <w:rPr>
      <w:color w:val="44546A" w:themeColor="text2"/>
      <w:szCs w:val="22"/>
    </w:rPr>
  </w:style>
  <w:style w:type="paragraph" w:styleId="TM4">
    <w:name w:val="toc 4"/>
    <w:basedOn w:val="Normal"/>
    <w:next w:val="Normal"/>
    <w:autoRedefine/>
    <w:uiPriority w:val="39"/>
    <w:semiHidden/>
    <w:unhideWhenUsed/>
    <w:rsid w:val="00D76674"/>
    <w:pPr>
      <w:spacing w:before="0" w:after="0"/>
      <w:ind w:left="660"/>
      <w:jc w:val="left"/>
    </w:pPr>
    <w:rPr>
      <w:rFonts w:asciiTheme="minorHAnsi" w:hAnsiTheme="minorHAnsi"/>
      <w:sz w:val="20"/>
      <w:szCs w:val="20"/>
    </w:rPr>
  </w:style>
  <w:style w:type="paragraph" w:styleId="TM5">
    <w:name w:val="toc 5"/>
    <w:basedOn w:val="Normal"/>
    <w:next w:val="Normal"/>
    <w:autoRedefine/>
    <w:uiPriority w:val="39"/>
    <w:semiHidden/>
    <w:unhideWhenUsed/>
    <w:rsid w:val="00D76674"/>
    <w:pPr>
      <w:spacing w:before="0" w:after="0"/>
      <w:ind w:left="880"/>
      <w:jc w:val="left"/>
    </w:pPr>
    <w:rPr>
      <w:rFonts w:asciiTheme="minorHAnsi" w:hAnsiTheme="minorHAnsi"/>
      <w:sz w:val="20"/>
      <w:szCs w:val="20"/>
    </w:rPr>
  </w:style>
  <w:style w:type="paragraph" w:styleId="TM6">
    <w:name w:val="toc 6"/>
    <w:basedOn w:val="Normal"/>
    <w:next w:val="Normal"/>
    <w:autoRedefine/>
    <w:uiPriority w:val="39"/>
    <w:semiHidden/>
    <w:unhideWhenUsed/>
    <w:rsid w:val="00D76674"/>
    <w:pPr>
      <w:spacing w:before="0" w:after="0"/>
      <w:ind w:left="1100"/>
      <w:jc w:val="left"/>
    </w:pPr>
    <w:rPr>
      <w:rFonts w:asciiTheme="minorHAnsi" w:hAnsiTheme="minorHAnsi"/>
      <w:sz w:val="20"/>
      <w:szCs w:val="20"/>
    </w:rPr>
  </w:style>
  <w:style w:type="paragraph" w:styleId="TM7">
    <w:name w:val="toc 7"/>
    <w:basedOn w:val="Normal"/>
    <w:next w:val="Normal"/>
    <w:autoRedefine/>
    <w:uiPriority w:val="39"/>
    <w:semiHidden/>
    <w:unhideWhenUsed/>
    <w:rsid w:val="00D76674"/>
    <w:pPr>
      <w:spacing w:before="0" w:after="0"/>
      <w:ind w:left="1320"/>
      <w:jc w:val="left"/>
    </w:pPr>
    <w:rPr>
      <w:rFonts w:asciiTheme="minorHAnsi" w:hAnsiTheme="minorHAnsi"/>
      <w:sz w:val="20"/>
      <w:szCs w:val="20"/>
    </w:rPr>
  </w:style>
  <w:style w:type="paragraph" w:styleId="TM8">
    <w:name w:val="toc 8"/>
    <w:basedOn w:val="Normal"/>
    <w:next w:val="Normal"/>
    <w:autoRedefine/>
    <w:uiPriority w:val="39"/>
    <w:semiHidden/>
    <w:unhideWhenUsed/>
    <w:rsid w:val="00D76674"/>
    <w:pPr>
      <w:spacing w:before="0" w:after="0"/>
      <w:ind w:left="1540"/>
      <w:jc w:val="left"/>
    </w:pPr>
    <w:rPr>
      <w:rFonts w:asciiTheme="minorHAnsi" w:hAnsiTheme="minorHAnsi"/>
      <w:sz w:val="20"/>
      <w:szCs w:val="20"/>
    </w:rPr>
  </w:style>
  <w:style w:type="paragraph" w:styleId="TM9">
    <w:name w:val="toc 9"/>
    <w:basedOn w:val="Normal"/>
    <w:next w:val="Normal"/>
    <w:autoRedefine/>
    <w:uiPriority w:val="39"/>
    <w:semiHidden/>
    <w:unhideWhenUsed/>
    <w:rsid w:val="00D76674"/>
    <w:pPr>
      <w:spacing w:before="0" w:after="0"/>
      <w:ind w:left="1760"/>
      <w:jc w:val="left"/>
    </w:pPr>
    <w:rPr>
      <w:rFonts w:asciiTheme="minorHAnsi" w:hAnsiTheme="minorHAnsi"/>
      <w:sz w:val="20"/>
      <w:szCs w:val="20"/>
    </w:rPr>
  </w:style>
  <w:style w:type="numbering" w:customStyle="1" w:styleId="myenergy">
    <w:name w:val="myenergy"/>
    <w:uiPriority w:val="99"/>
    <w:rsid w:val="00D91933"/>
    <w:pPr>
      <w:numPr>
        <w:numId w:val="2"/>
      </w:numPr>
    </w:pPr>
  </w:style>
  <w:style w:type="paragraph" w:customStyle="1" w:styleId="Titretableau">
    <w:name w:val="Titre tableau"/>
    <w:basedOn w:val="Normal"/>
    <w:autoRedefine/>
    <w:qFormat/>
    <w:rsid w:val="000150BE"/>
    <w:pPr>
      <w:keepNext/>
    </w:pPr>
    <w:rPr>
      <w:rFonts w:cs="Arial"/>
      <w:b/>
      <w:color w:val="44546A" w:themeColor="text2"/>
    </w:rPr>
  </w:style>
  <w:style w:type="character" w:customStyle="1" w:styleId="Titre4Car">
    <w:name w:val="Titre 4 Car"/>
    <w:basedOn w:val="Policepardfaut"/>
    <w:link w:val="Titre4"/>
    <w:uiPriority w:val="9"/>
    <w:semiHidden/>
    <w:rsid w:val="002A7551"/>
    <w:rPr>
      <w:rFonts w:asciiTheme="majorHAnsi" w:eastAsiaTheme="majorEastAsia" w:hAnsiTheme="majorHAnsi" w:cstheme="majorBidi"/>
      <w:i/>
      <w:iCs/>
      <w:color w:val="2E74B5" w:themeColor="accent1" w:themeShade="BF"/>
      <w:sz w:val="22"/>
      <w:lang w:eastAsia="ja-JP"/>
    </w:rPr>
  </w:style>
  <w:style w:type="character" w:customStyle="1" w:styleId="Titre5Car">
    <w:name w:val="Titre 5 Car"/>
    <w:basedOn w:val="Policepardfaut"/>
    <w:link w:val="Titre5"/>
    <w:uiPriority w:val="9"/>
    <w:semiHidden/>
    <w:rsid w:val="002A7551"/>
    <w:rPr>
      <w:rFonts w:asciiTheme="majorHAnsi" w:eastAsiaTheme="majorEastAsia" w:hAnsiTheme="majorHAnsi" w:cstheme="majorBidi"/>
      <w:color w:val="2E74B5" w:themeColor="accent1" w:themeShade="BF"/>
      <w:sz w:val="22"/>
      <w:lang w:eastAsia="ja-JP"/>
    </w:rPr>
  </w:style>
  <w:style w:type="character" w:customStyle="1" w:styleId="Titre6Car">
    <w:name w:val="Titre 6 Car"/>
    <w:basedOn w:val="Policepardfaut"/>
    <w:link w:val="Titre6"/>
    <w:uiPriority w:val="9"/>
    <w:semiHidden/>
    <w:rsid w:val="002A7551"/>
    <w:rPr>
      <w:rFonts w:asciiTheme="majorHAnsi" w:eastAsiaTheme="majorEastAsia" w:hAnsiTheme="majorHAnsi" w:cstheme="majorBidi"/>
      <w:color w:val="1F4D78" w:themeColor="accent1" w:themeShade="7F"/>
      <w:sz w:val="22"/>
      <w:lang w:eastAsia="ja-JP"/>
    </w:rPr>
  </w:style>
  <w:style w:type="character" w:customStyle="1" w:styleId="Titre7Car">
    <w:name w:val="Titre 7 Car"/>
    <w:basedOn w:val="Policepardfaut"/>
    <w:link w:val="Titre7"/>
    <w:uiPriority w:val="9"/>
    <w:semiHidden/>
    <w:rsid w:val="002A7551"/>
    <w:rPr>
      <w:rFonts w:asciiTheme="majorHAnsi" w:eastAsiaTheme="majorEastAsia" w:hAnsiTheme="majorHAnsi" w:cstheme="majorBidi"/>
      <w:i/>
      <w:iCs/>
      <w:color w:val="1F4D78" w:themeColor="accent1" w:themeShade="7F"/>
      <w:sz w:val="22"/>
      <w:lang w:eastAsia="ja-JP"/>
    </w:rPr>
  </w:style>
  <w:style w:type="character" w:customStyle="1" w:styleId="Titre8Car">
    <w:name w:val="Titre 8 Car"/>
    <w:basedOn w:val="Policepardfaut"/>
    <w:link w:val="Titre8"/>
    <w:uiPriority w:val="9"/>
    <w:semiHidden/>
    <w:rsid w:val="002A7551"/>
    <w:rPr>
      <w:rFonts w:asciiTheme="majorHAnsi" w:eastAsiaTheme="majorEastAsia" w:hAnsiTheme="majorHAnsi" w:cstheme="majorBidi"/>
      <w:color w:val="272727" w:themeColor="text1" w:themeTint="D8"/>
      <w:sz w:val="21"/>
      <w:szCs w:val="21"/>
      <w:lang w:eastAsia="ja-JP"/>
    </w:rPr>
  </w:style>
  <w:style w:type="character" w:customStyle="1" w:styleId="Titre9Car">
    <w:name w:val="Titre 9 Car"/>
    <w:basedOn w:val="Policepardfaut"/>
    <w:link w:val="Titre9"/>
    <w:uiPriority w:val="9"/>
    <w:semiHidden/>
    <w:rsid w:val="002A7551"/>
    <w:rPr>
      <w:rFonts w:asciiTheme="majorHAnsi" w:eastAsiaTheme="majorEastAsia" w:hAnsiTheme="majorHAnsi" w:cstheme="majorBidi"/>
      <w:i/>
      <w:iCs/>
      <w:color w:val="272727" w:themeColor="text1" w:themeTint="D8"/>
      <w:sz w:val="21"/>
      <w:szCs w:val="21"/>
      <w:lang w:eastAsia="ja-JP"/>
    </w:rPr>
  </w:style>
  <w:style w:type="paragraph" w:styleId="Liste">
    <w:name w:val="List"/>
    <w:basedOn w:val="Normal"/>
    <w:uiPriority w:val="99"/>
    <w:unhideWhenUsed/>
    <w:qFormat/>
    <w:rsid w:val="00587429"/>
    <w:pPr>
      <w:ind w:left="284" w:hanging="284"/>
      <w:contextualSpacing/>
    </w:pPr>
  </w:style>
  <w:style w:type="numbering" w:styleId="111111">
    <w:name w:val="Outline List 2"/>
    <w:basedOn w:val="Aucuneliste"/>
    <w:uiPriority w:val="99"/>
    <w:semiHidden/>
    <w:unhideWhenUsed/>
    <w:rsid w:val="00FA7033"/>
    <w:pPr>
      <w:numPr>
        <w:numId w:val="3"/>
      </w:numPr>
    </w:pPr>
  </w:style>
  <w:style w:type="paragraph" w:styleId="Textedebulles">
    <w:name w:val="Balloon Text"/>
    <w:basedOn w:val="Normal"/>
    <w:link w:val="TextedebullesCar"/>
    <w:uiPriority w:val="99"/>
    <w:semiHidden/>
    <w:unhideWhenUsed/>
    <w:rsid w:val="00CF7C5D"/>
    <w:pPr>
      <w:spacing w:before="0"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F7C5D"/>
    <w:rPr>
      <w:rFonts w:ascii="Segoe UI" w:eastAsiaTheme="minorEastAsia" w:hAnsi="Segoe UI" w:cs="Segoe UI"/>
      <w:color w:val="808080" w:themeColor="background1" w:themeShade="80"/>
      <w:sz w:val="18"/>
      <w:szCs w:val="18"/>
      <w:lang w:eastAsia="ja-JP"/>
    </w:rPr>
  </w:style>
  <w:style w:type="paragraph" w:styleId="Paragraphedeliste">
    <w:name w:val="List Paragraph"/>
    <w:basedOn w:val="Normal"/>
    <w:uiPriority w:val="34"/>
    <w:qFormat/>
    <w:rsid w:val="00CF7C5D"/>
    <w:pPr>
      <w:numPr>
        <w:numId w:val="7"/>
      </w:numPr>
      <w:spacing w:before="0" w:after="0" w:line="259" w:lineRule="auto"/>
    </w:pPr>
    <w:rPr>
      <w:rFonts w:ascii="Century Gothic" w:eastAsiaTheme="minorHAnsi" w:hAnsi="Century Gothic"/>
      <w:color w:val="auto"/>
      <w:szCs w:val="22"/>
      <w:lang w:eastAsia="en-US"/>
    </w:rPr>
  </w:style>
  <w:style w:type="character" w:styleId="Marquedecommentaire">
    <w:name w:val="annotation reference"/>
    <w:basedOn w:val="Policepardfaut"/>
    <w:uiPriority w:val="99"/>
    <w:semiHidden/>
    <w:unhideWhenUsed/>
    <w:rsid w:val="00CF7C5D"/>
    <w:rPr>
      <w:sz w:val="16"/>
      <w:szCs w:val="16"/>
    </w:rPr>
  </w:style>
  <w:style w:type="paragraph" w:styleId="Commentaire">
    <w:name w:val="annotation text"/>
    <w:basedOn w:val="Normal"/>
    <w:link w:val="CommentaireCar"/>
    <w:uiPriority w:val="99"/>
    <w:unhideWhenUsed/>
    <w:rsid w:val="00CF7C5D"/>
    <w:pPr>
      <w:spacing w:before="0" w:after="160"/>
    </w:pPr>
    <w:rPr>
      <w:rFonts w:ascii="Century Gothic" w:eastAsiaTheme="minorHAnsi" w:hAnsi="Century Gothic"/>
      <w:color w:val="auto"/>
      <w:sz w:val="20"/>
      <w:szCs w:val="20"/>
      <w:lang w:eastAsia="en-US"/>
    </w:rPr>
  </w:style>
  <w:style w:type="character" w:customStyle="1" w:styleId="CommentaireCar">
    <w:name w:val="Commentaire Car"/>
    <w:basedOn w:val="Policepardfaut"/>
    <w:link w:val="Commentaire"/>
    <w:uiPriority w:val="99"/>
    <w:rsid w:val="00CF7C5D"/>
    <w:rPr>
      <w:rFonts w:ascii="Century Gothic" w:hAnsi="Century Gothic"/>
      <w:sz w:val="20"/>
      <w:szCs w:val="20"/>
      <w:lang w:val="fr-FR"/>
    </w:rPr>
  </w:style>
  <w:style w:type="paragraph" w:styleId="Objetducommentaire">
    <w:name w:val="annotation subject"/>
    <w:basedOn w:val="Commentaire"/>
    <w:next w:val="Commentaire"/>
    <w:link w:val="ObjetducommentaireCar"/>
    <w:uiPriority w:val="99"/>
    <w:semiHidden/>
    <w:unhideWhenUsed/>
    <w:rsid w:val="00CF7C5D"/>
    <w:pPr>
      <w:jc w:val="left"/>
    </w:pPr>
    <w:rPr>
      <w:b/>
      <w:bCs/>
    </w:rPr>
  </w:style>
  <w:style w:type="character" w:customStyle="1" w:styleId="ObjetducommentaireCar">
    <w:name w:val="Objet du commentaire Car"/>
    <w:basedOn w:val="CommentaireCar"/>
    <w:link w:val="Objetducommentaire"/>
    <w:uiPriority w:val="99"/>
    <w:semiHidden/>
    <w:rsid w:val="00CF7C5D"/>
    <w:rPr>
      <w:rFonts w:ascii="Century Gothic" w:hAnsi="Century Gothic"/>
      <w:b/>
      <w:bCs/>
      <w:sz w:val="20"/>
      <w:szCs w:val="20"/>
      <w:lang w:val="fr-FR"/>
    </w:rPr>
  </w:style>
  <w:style w:type="paragraph" w:styleId="Rvision">
    <w:name w:val="Revision"/>
    <w:hidden/>
    <w:uiPriority w:val="99"/>
    <w:semiHidden/>
    <w:rsid w:val="00CF7C5D"/>
    <w:rPr>
      <w:rFonts w:ascii="Century Gothic" w:hAnsi="Century Gothic"/>
      <w:sz w:val="22"/>
      <w:szCs w:val="22"/>
    </w:rPr>
  </w:style>
  <w:style w:type="paragraph" w:styleId="Lgende">
    <w:name w:val="caption"/>
    <w:basedOn w:val="Notedebasdepage"/>
    <w:next w:val="Normal"/>
    <w:link w:val="LgendeCar"/>
    <w:autoRedefine/>
    <w:uiPriority w:val="35"/>
    <w:unhideWhenUsed/>
    <w:qFormat/>
    <w:rsid w:val="00334846"/>
    <w:rPr>
      <w:i/>
      <w:color w:val="44546A" w:themeColor="text2"/>
      <w:sz w:val="18"/>
    </w:rPr>
  </w:style>
  <w:style w:type="paragraph" w:customStyle="1" w:styleId="Tabelle">
    <w:name w:val="Tabelle"/>
    <w:basedOn w:val="Lgende"/>
    <w:link w:val="TabelleChar"/>
    <w:autoRedefine/>
    <w:qFormat/>
    <w:rsid w:val="000150BE"/>
    <w:pPr>
      <w:keepNext/>
    </w:pPr>
    <w:rPr>
      <w:sz w:val="20"/>
    </w:rPr>
  </w:style>
  <w:style w:type="character" w:customStyle="1" w:styleId="LgendeCar">
    <w:name w:val="Légende Car"/>
    <w:basedOn w:val="Policepardfaut"/>
    <w:link w:val="Lgende"/>
    <w:uiPriority w:val="35"/>
    <w:rsid w:val="00334846"/>
    <w:rPr>
      <w:rFonts w:ascii="Century Gothic" w:hAnsi="Century Gothic"/>
      <w:i/>
      <w:color w:val="44546A" w:themeColor="text2"/>
      <w:sz w:val="18"/>
      <w:szCs w:val="20"/>
    </w:rPr>
  </w:style>
  <w:style w:type="character" w:customStyle="1" w:styleId="TabelleChar">
    <w:name w:val="Tabelle Char"/>
    <w:basedOn w:val="LgendeCar"/>
    <w:link w:val="Tabelle"/>
    <w:rsid w:val="000150BE"/>
    <w:rPr>
      <w:rFonts w:ascii="Century Gothic" w:hAnsi="Century Gothic"/>
      <w:i/>
      <w:color w:val="44546A" w:themeColor="text2"/>
      <w:sz w:val="20"/>
      <w:szCs w:val="20"/>
    </w:rPr>
  </w:style>
  <w:style w:type="paragraph" w:styleId="Notedebasdepage">
    <w:name w:val="footnote text"/>
    <w:basedOn w:val="Normal"/>
    <w:link w:val="NotedebasdepageCar"/>
    <w:uiPriority w:val="99"/>
    <w:semiHidden/>
    <w:unhideWhenUsed/>
    <w:rsid w:val="00CF7C5D"/>
    <w:pPr>
      <w:spacing w:before="0" w:after="0"/>
    </w:pPr>
    <w:rPr>
      <w:rFonts w:ascii="Century Gothic" w:eastAsiaTheme="minorHAnsi" w:hAnsi="Century Gothic"/>
      <w:color w:val="auto"/>
      <w:sz w:val="20"/>
      <w:szCs w:val="20"/>
      <w:lang w:eastAsia="en-US"/>
    </w:rPr>
  </w:style>
  <w:style w:type="character" w:customStyle="1" w:styleId="NotedebasdepageCar">
    <w:name w:val="Note de bas de page Car"/>
    <w:basedOn w:val="Policepardfaut"/>
    <w:link w:val="Notedebasdepage"/>
    <w:uiPriority w:val="99"/>
    <w:semiHidden/>
    <w:rsid w:val="00CF7C5D"/>
    <w:rPr>
      <w:rFonts w:ascii="Century Gothic" w:hAnsi="Century Gothic"/>
      <w:sz w:val="20"/>
      <w:szCs w:val="20"/>
      <w:lang w:val="fr-FR"/>
    </w:rPr>
  </w:style>
  <w:style w:type="character" w:styleId="Appelnotedebasdep">
    <w:name w:val="footnote reference"/>
    <w:basedOn w:val="Policepardfaut"/>
    <w:uiPriority w:val="99"/>
    <w:semiHidden/>
    <w:unhideWhenUsed/>
    <w:rsid w:val="00CF7C5D"/>
    <w:rPr>
      <w:vertAlign w:val="superscript"/>
    </w:rPr>
  </w:style>
  <w:style w:type="paragraph" w:customStyle="1" w:styleId="freerow">
    <w:name w:val="free row"/>
    <w:basedOn w:val="Normal"/>
    <w:link w:val="freerowChar"/>
    <w:qFormat/>
    <w:rsid w:val="00CF7C5D"/>
    <w:pPr>
      <w:spacing w:before="0" w:after="0" w:line="259" w:lineRule="auto"/>
    </w:pPr>
    <w:rPr>
      <w:rFonts w:ascii="Century Gothic" w:eastAsiaTheme="minorHAnsi" w:hAnsi="Century Gothic"/>
      <w:color w:val="auto"/>
      <w:szCs w:val="22"/>
      <w:lang w:eastAsia="en-US"/>
    </w:rPr>
  </w:style>
  <w:style w:type="paragraph" w:styleId="Sansinterligne">
    <w:name w:val="No Spacing"/>
    <w:uiPriority w:val="1"/>
    <w:qFormat/>
    <w:rsid w:val="00CF7C5D"/>
    <w:pPr>
      <w:jc w:val="both"/>
    </w:pPr>
    <w:rPr>
      <w:rFonts w:ascii="Century Gothic" w:hAnsi="Century Gothic"/>
      <w:sz w:val="22"/>
      <w:szCs w:val="22"/>
    </w:rPr>
  </w:style>
  <w:style w:type="character" w:customStyle="1" w:styleId="freerowChar">
    <w:name w:val="free row Char"/>
    <w:basedOn w:val="Policepardfaut"/>
    <w:link w:val="freerow"/>
    <w:rsid w:val="00CF7C5D"/>
    <w:rPr>
      <w:rFonts w:ascii="Century Gothic" w:hAnsi="Century Gothic"/>
      <w:sz w:val="22"/>
      <w:szCs w:val="22"/>
      <w:lang w:val="fr-FR"/>
    </w:rPr>
  </w:style>
  <w:style w:type="paragraph" w:styleId="NormalWeb">
    <w:name w:val="Normal (Web)"/>
    <w:basedOn w:val="Normal"/>
    <w:uiPriority w:val="99"/>
    <w:unhideWhenUsed/>
    <w:rsid w:val="00CF7C5D"/>
    <w:pPr>
      <w:spacing w:before="100" w:beforeAutospacing="1" w:after="100" w:afterAutospacing="1"/>
      <w:jc w:val="left"/>
    </w:pPr>
    <w:rPr>
      <w:rFonts w:ascii="Times New Roman" w:eastAsia="Times New Roman" w:hAnsi="Times New Roman" w:cs="Times New Roman"/>
      <w:color w:val="auto"/>
      <w:sz w:val="24"/>
      <w:lang w:eastAsia="en-GB"/>
    </w:rPr>
  </w:style>
  <w:style w:type="paragraph" w:customStyle="1" w:styleId="Default">
    <w:name w:val="Default"/>
    <w:rsid w:val="00CF7C5D"/>
    <w:pPr>
      <w:autoSpaceDE w:val="0"/>
      <w:autoSpaceDN w:val="0"/>
      <w:adjustRightInd w:val="0"/>
    </w:pPr>
    <w:rPr>
      <w:rFonts w:ascii="Arial" w:hAnsi="Arial" w:cs="Arial"/>
      <w:color w:val="000000"/>
    </w:rPr>
  </w:style>
  <w:style w:type="character" w:customStyle="1" w:styleId="NichtaufgelsteErwhnung1">
    <w:name w:val="Nicht aufgelöste Erwähnung1"/>
    <w:basedOn w:val="Policepardfaut"/>
    <w:uiPriority w:val="99"/>
    <w:rsid w:val="00671885"/>
    <w:rPr>
      <w:color w:val="605E5C"/>
      <w:shd w:val="clear" w:color="auto" w:fill="E1DFDD"/>
    </w:rPr>
  </w:style>
  <w:style w:type="character" w:customStyle="1" w:styleId="NichtaufgelsteErwhnung2">
    <w:name w:val="Nicht aufgelöste Erwähnung2"/>
    <w:basedOn w:val="Policepardfaut"/>
    <w:uiPriority w:val="99"/>
    <w:semiHidden/>
    <w:unhideWhenUsed/>
    <w:rsid w:val="00737EBB"/>
    <w:rPr>
      <w:color w:val="605E5C"/>
      <w:shd w:val="clear" w:color="auto" w:fill="E1DFDD"/>
    </w:rPr>
  </w:style>
  <w:style w:type="character" w:styleId="Lienhypertextesuivivisit">
    <w:name w:val="FollowedHyperlink"/>
    <w:basedOn w:val="Policepardfaut"/>
    <w:uiPriority w:val="99"/>
    <w:semiHidden/>
    <w:unhideWhenUsed/>
    <w:rsid w:val="004B07D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72562">
      <w:bodyDiv w:val="1"/>
      <w:marLeft w:val="0"/>
      <w:marRight w:val="0"/>
      <w:marTop w:val="0"/>
      <w:marBottom w:val="0"/>
      <w:divBdr>
        <w:top w:val="none" w:sz="0" w:space="0" w:color="auto"/>
        <w:left w:val="none" w:sz="0" w:space="0" w:color="auto"/>
        <w:bottom w:val="none" w:sz="0" w:space="0" w:color="auto"/>
        <w:right w:val="none" w:sz="0" w:space="0" w:color="auto"/>
      </w:divBdr>
    </w:div>
    <w:div w:id="90322153">
      <w:bodyDiv w:val="1"/>
      <w:marLeft w:val="0"/>
      <w:marRight w:val="0"/>
      <w:marTop w:val="0"/>
      <w:marBottom w:val="0"/>
      <w:divBdr>
        <w:top w:val="none" w:sz="0" w:space="0" w:color="auto"/>
        <w:left w:val="none" w:sz="0" w:space="0" w:color="auto"/>
        <w:bottom w:val="none" w:sz="0" w:space="0" w:color="auto"/>
        <w:right w:val="none" w:sz="0" w:space="0" w:color="auto"/>
      </w:divBdr>
    </w:div>
    <w:div w:id="119538712">
      <w:bodyDiv w:val="1"/>
      <w:marLeft w:val="0"/>
      <w:marRight w:val="0"/>
      <w:marTop w:val="0"/>
      <w:marBottom w:val="0"/>
      <w:divBdr>
        <w:top w:val="none" w:sz="0" w:space="0" w:color="auto"/>
        <w:left w:val="none" w:sz="0" w:space="0" w:color="auto"/>
        <w:bottom w:val="none" w:sz="0" w:space="0" w:color="auto"/>
        <w:right w:val="none" w:sz="0" w:space="0" w:color="auto"/>
      </w:divBdr>
    </w:div>
    <w:div w:id="254480097">
      <w:bodyDiv w:val="1"/>
      <w:marLeft w:val="0"/>
      <w:marRight w:val="0"/>
      <w:marTop w:val="0"/>
      <w:marBottom w:val="0"/>
      <w:divBdr>
        <w:top w:val="none" w:sz="0" w:space="0" w:color="auto"/>
        <w:left w:val="none" w:sz="0" w:space="0" w:color="auto"/>
        <w:bottom w:val="none" w:sz="0" w:space="0" w:color="auto"/>
        <w:right w:val="none" w:sz="0" w:space="0" w:color="auto"/>
      </w:divBdr>
    </w:div>
    <w:div w:id="457603986">
      <w:bodyDiv w:val="1"/>
      <w:marLeft w:val="0"/>
      <w:marRight w:val="0"/>
      <w:marTop w:val="0"/>
      <w:marBottom w:val="0"/>
      <w:divBdr>
        <w:top w:val="none" w:sz="0" w:space="0" w:color="auto"/>
        <w:left w:val="none" w:sz="0" w:space="0" w:color="auto"/>
        <w:bottom w:val="none" w:sz="0" w:space="0" w:color="auto"/>
        <w:right w:val="none" w:sz="0" w:space="0" w:color="auto"/>
      </w:divBdr>
    </w:div>
    <w:div w:id="496577286">
      <w:bodyDiv w:val="1"/>
      <w:marLeft w:val="0"/>
      <w:marRight w:val="0"/>
      <w:marTop w:val="0"/>
      <w:marBottom w:val="0"/>
      <w:divBdr>
        <w:top w:val="none" w:sz="0" w:space="0" w:color="auto"/>
        <w:left w:val="none" w:sz="0" w:space="0" w:color="auto"/>
        <w:bottom w:val="none" w:sz="0" w:space="0" w:color="auto"/>
        <w:right w:val="none" w:sz="0" w:space="0" w:color="auto"/>
      </w:divBdr>
    </w:div>
    <w:div w:id="497235446">
      <w:bodyDiv w:val="1"/>
      <w:marLeft w:val="0"/>
      <w:marRight w:val="0"/>
      <w:marTop w:val="0"/>
      <w:marBottom w:val="0"/>
      <w:divBdr>
        <w:top w:val="none" w:sz="0" w:space="0" w:color="auto"/>
        <w:left w:val="none" w:sz="0" w:space="0" w:color="auto"/>
        <w:bottom w:val="none" w:sz="0" w:space="0" w:color="auto"/>
        <w:right w:val="none" w:sz="0" w:space="0" w:color="auto"/>
      </w:divBdr>
    </w:div>
    <w:div w:id="920257688">
      <w:bodyDiv w:val="1"/>
      <w:marLeft w:val="0"/>
      <w:marRight w:val="0"/>
      <w:marTop w:val="0"/>
      <w:marBottom w:val="0"/>
      <w:divBdr>
        <w:top w:val="none" w:sz="0" w:space="0" w:color="auto"/>
        <w:left w:val="none" w:sz="0" w:space="0" w:color="auto"/>
        <w:bottom w:val="none" w:sz="0" w:space="0" w:color="auto"/>
        <w:right w:val="none" w:sz="0" w:space="0" w:color="auto"/>
      </w:divBdr>
    </w:div>
    <w:div w:id="1005522918">
      <w:bodyDiv w:val="1"/>
      <w:marLeft w:val="0"/>
      <w:marRight w:val="0"/>
      <w:marTop w:val="0"/>
      <w:marBottom w:val="0"/>
      <w:divBdr>
        <w:top w:val="none" w:sz="0" w:space="0" w:color="auto"/>
        <w:left w:val="none" w:sz="0" w:space="0" w:color="auto"/>
        <w:bottom w:val="none" w:sz="0" w:space="0" w:color="auto"/>
        <w:right w:val="none" w:sz="0" w:space="0" w:color="auto"/>
      </w:divBdr>
    </w:div>
    <w:div w:id="1088816248">
      <w:bodyDiv w:val="1"/>
      <w:marLeft w:val="0"/>
      <w:marRight w:val="0"/>
      <w:marTop w:val="0"/>
      <w:marBottom w:val="0"/>
      <w:divBdr>
        <w:top w:val="none" w:sz="0" w:space="0" w:color="auto"/>
        <w:left w:val="none" w:sz="0" w:space="0" w:color="auto"/>
        <w:bottom w:val="none" w:sz="0" w:space="0" w:color="auto"/>
        <w:right w:val="none" w:sz="0" w:space="0" w:color="auto"/>
      </w:divBdr>
    </w:div>
    <w:div w:id="1115829913">
      <w:bodyDiv w:val="1"/>
      <w:marLeft w:val="0"/>
      <w:marRight w:val="0"/>
      <w:marTop w:val="0"/>
      <w:marBottom w:val="0"/>
      <w:divBdr>
        <w:top w:val="none" w:sz="0" w:space="0" w:color="auto"/>
        <w:left w:val="none" w:sz="0" w:space="0" w:color="auto"/>
        <w:bottom w:val="none" w:sz="0" w:space="0" w:color="auto"/>
        <w:right w:val="none" w:sz="0" w:space="0" w:color="auto"/>
      </w:divBdr>
    </w:div>
    <w:div w:id="1141263978">
      <w:bodyDiv w:val="1"/>
      <w:marLeft w:val="0"/>
      <w:marRight w:val="0"/>
      <w:marTop w:val="0"/>
      <w:marBottom w:val="0"/>
      <w:divBdr>
        <w:top w:val="none" w:sz="0" w:space="0" w:color="auto"/>
        <w:left w:val="none" w:sz="0" w:space="0" w:color="auto"/>
        <w:bottom w:val="none" w:sz="0" w:space="0" w:color="auto"/>
        <w:right w:val="none" w:sz="0" w:space="0" w:color="auto"/>
      </w:divBdr>
    </w:div>
    <w:div w:id="1255284698">
      <w:bodyDiv w:val="1"/>
      <w:marLeft w:val="0"/>
      <w:marRight w:val="0"/>
      <w:marTop w:val="0"/>
      <w:marBottom w:val="0"/>
      <w:divBdr>
        <w:top w:val="none" w:sz="0" w:space="0" w:color="auto"/>
        <w:left w:val="none" w:sz="0" w:space="0" w:color="auto"/>
        <w:bottom w:val="none" w:sz="0" w:space="0" w:color="auto"/>
        <w:right w:val="none" w:sz="0" w:space="0" w:color="auto"/>
      </w:divBdr>
    </w:div>
    <w:div w:id="1412966256">
      <w:bodyDiv w:val="1"/>
      <w:marLeft w:val="0"/>
      <w:marRight w:val="0"/>
      <w:marTop w:val="0"/>
      <w:marBottom w:val="0"/>
      <w:divBdr>
        <w:top w:val="none" w:sz="0" w:space="0" w:color="auto"/>
        <w:left w:val="none" w:sz="0" w:space="0" w:color="auto"/>
        <w:bottom w:val="none" w:sz="0" w:space="0" w:color="auto"/>
        <w:right w:val="none" w:sz="0" w:space="0" w:color="auto"/>
      </w:divBdr>
    </w:div>
    <w:div w:id="1462964568">
      <w:bodyDiv w:val="1"/>
      <w:marLeft w:val="0"/>
      <w:marRight w:val="0"/>
      <w:marTop w:val="0"/>
      <w:marBottom w:val="0"/>
      <w:divBdr>
        <w:top w:val="none" w:sz="0" w:space="0" w:color="auto"/>
        <w:left w:val="none" w:sz="0" w:space="0" w:color="auto"/>
        <w:bottom w:val="none" w:sz="0" w:space="0" w:color="auto"/>
        <w:right w:val="none" w:sz="0" w:space="0" w:color="auto"/>
      </w:divBdr>
    </w:div>
    <w:div w:id="1561019912">
      <w:bodyDiv w:val="1"/>
      <w:marLeft w:val="0"/>
      <w:marRight w:val="0"/>
      <w:marTop w:val="0"/>
      <w:marBottom w:val="0"/>
      <w:divBdr>
        <w:top w:val="none" w:sz="0" w:space="0" w:color="auto"/>
        <w:left w:val="none" w:sz="0" w:space="0" w:color="auto"/>
        <w:bottom w:val="none" w:sz="0" w:space="0" w:color="auto"/>
        <w:right w:val="none" w:sz="0" w:space="0" w:color="auto"/>
      </w:divBdr>
    </w:div>
    <w:div w:id="1574656592">
      <w:bodyDiv w:val="1"/>
      <w:marLeft w:val="0"/>
      <w:marRight w:val="0"/>
      <w:marTop w:val="0"/>
      <w:marBottom w:val="0"/>
      <w:divBdr>
        <w:top w:val="none" w:sz="0" w:space="0" w:color="auto"/>
        <w:left w:val="none" w:sz="0" w:space="0" w:color="auto"/>
        <w:bottom w:val="none" w:sz="0" w:space="0" w:color="auto"/>
        <w:right w:val="none" w:sz="0" w:space="0" w:color="auto"/>
      </w:divBdr>
    </w:div>
    <w:div w:id="1697653773">
      <w:bodyDiv w:val="1"/>
      <w:marLeft w:val="0"/>
      <w:marRight w:val="0"/>
      <w:marTop w:val="0"/>
      <w:marBottom w:val="0"/>
      <w:divBdr>
        <w:top w:val="none" w:sz="0" w:space="0" w:color="auto"/>
        <w:left w:val="none" w:sz="0" w:space="0" w:color="auto"/>
        <w:bottom w:val="none" w:sz="0" w:space="0" w:color="auto"/>
        <w:right w:val="none" w:sz="0" w:space="0" w:color="auto"/>
      </w:divBdr>
    </w:div>
    <w:div w:id="1854802443">
      <w:bodyDiv w:val="1"/>
      <w:marLeft w:val="0"/>
      <w:marRight w:val="0"/>
      <w:marTop w:val="0"/>
      <w:marBottom w:val="0"/>
      <w:divBdr>
        <w:top w:val="none" w:sz="0" w:space="0" w:color="auto"/>
        <w:left w:val="none" w:sz="0" w:space="0" w:color="auto"/>
        <w:bottom w:val="none" w:sz="0" w:space="0" w:color="auto"/>
        <w:right w:val="none" w:sz="0" w:space="0" w:color="auto"/>
      </w:divBdr>
    </w:div>
    <w:div w:id="1924409144">
      <w:bodyDiv w:val="1"/>
      <w:marLeft w:val="0"/>
      <w:marRight w:val="0"/>
      <w:marTop w:val="0"/>
      <w:marBottom w:val="0"/>
      <w:divBdr>
        <w:top w:val="none" w:sz="0" w:space="0" w:color="auto"/>
        <w:left w:val="none" w:sz="0" w:space="0" w:color="auto"/>
        <w:bottom w:val="none" w:sz="0" w:space="0" w:color="auto"/>
        <w:right w:val="none" w:sz="0" w:space="0" w:color="auto"/>
      </w:divBdr>
    </w:div>
    <w:div w:id="2051957354">
      <w:bodyDiv w:val="1"/>
      <w:marLeft w:val="0"/>
      <w:marRight w:val="0"/>
      <w:marTop w:val="0"/>
      <w:marBottom w:val="0"/>
      <w:divBdr>
        <w:top w:val="none" w:sz="0" w:space="0" w:color="auto"/>
        <w:left w:val="none" w:sz="0" w:space="0" w:color="auto"/>
        <w:bottom w:val="none" w:sz="0" w:space="0" w:color="auto"/>
        <w:right w:val="none" w:sz="0" w:space="0" w:color="auto"/>
      </w:divBdr>
    </w:div>
    <w:div w:id="2123380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5" Type="http://schemas.openxmlformats.org/officeDocument/2006/relationships/image" Target="media/image15.png"/><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klima-agence.lu/structuredecharge"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tiff"/><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3.tiff"/><Relationship Id="rId28" Type="http://schemas.openxmlformats.org/officeDocument/2006/relationships/image" Target="cid:image005.png@01D606A8.A1B563A0" TargetMode="External"/><Relationship Id="rId36" Type="http://schemas.openxmlformats.org/officeDocument/2006/relationships/footer" Target="footer5.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cid:image004.png@01D606A8.A1B563A0" TargetMode="External"/><Relationship Id="rId35" Type="http://schemas.openxmlformats.org/officeDocument/2006/relationships/header" Target="header6.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1" Type="http://schemas.openxmlformats.org/officeDocument/2006/relationships/image" Target="media/image20.jpeg"/></Relationships>
</file>

<file path=word/_rels/footnotes.xml.rels><?xml version="1.0" encoding="UTF-8" standalone="yes"?>
<Relationships xmlns="http://schemas.openxmlformats.org/package/2006/relationships"><Relationship Id="rId1" Type="http://schemas.openxmlformats.org/officeDocument/2006/relationships/hyperlink" Target="https://itm.public.lu/dam-assets/fr/securite-sante/conditions-types/itm-cl-1100-2000/ITM-SST-1506-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C6B15E0-174A-4483-869A-7A400643B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10566</Words>
  <Characters>58118</Characters>
  <Application>Microsoft Office Word</Application>
  <DocSecurity>0</DocSecurity>
  <Lines>484</Lines>
  <Paragraphs>137</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LinksUpToDate>false</LinksUpToDate>
  <CharactersWithSpaces>68547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2022-05-02T09:52:00Z</dcterms:created>
  <dcterms:modified xsi:type="dcterms:W3CDTF">2022-05-02T10:02:00Z</dcterms:modified>
</cp:coreProperties>
</file>