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87BA" w14:textId="77777777" w:rsidR="00FA1A7C" w:rsidRDefault="00FA1A7C" w:rsidP="00322507">
      <w:pPr>
        <w:pStyle w:val="SignatureKlima-Agence"/>
        <w:rPr>
          <w:lang w:val="fr-FR"/>
        </w:rPr>
      </w:pPr>
    </w:p>
    <w:p w14:paraId="10DDB92C" w14:textId="77777777" w:rsidR="00FA1A7C" w:rsidRPr="003804EA" w:rsidRDefault="00FA1A7C" w:rsidP="00FA1A7C">
      <w:pPr>
        <w:rPr>
          <w:lang w:val="fr-FR"/>
        </w:rPr>
      </w:pPr>
    </w:p>
    <w:p w14:paraId="25159538" w14:textId="77777777" w:rsidR="00FA1A7C" w:rsidRPr="003804EA" w:rsidRDefault="00FA1A7C" w:rsidP="00FA1A7C">
      <w:pPr>
        <w:rPr>
          <w:lang w:val="fr-FR"/>
        </w:rPr>
      </w:pPr>
    </w:p>
    <w:p w14:paraId="480A3CB7" w14:textId="77777777" w:rsidR="00FA1A7C" w:rsidRPr="003804EA" w:rsidRDefault="00FA1A7C" w:rsidP="00FA1A7C">
      <w:pPr>
        <w:rPr>
          <w:lang w:val="fr-FR"/>
        </w:rPr>
      </w:pPr>
    </w:p>
    <w:p w14:paraId="5C61A96A" w14:textId="77777777" w:rsidR="00B07A19" w:rsidRPr="00BF30BB" w:rsidRDefault="00B07A19" w:rsidP="00BF30BB">
      <w:pPr>
        <w:pStyle w:val="Titre"/>
      </w:pPr>
      <w:r w:rsidRPr="00BF30BB">
        <w:t>Coopérative énergétique</w:t>
      </w:r>
    </w:p>
    <w:p w14:paraId="4BC81B3C" w14:textId="5FE2C16A" w:rsidR="00FA1A7C" w:rsidRPr="00B07A19" w:rsidRDefault="00B07A19" w:rsidP="00B07A19">
      <w:pPr>
        <w:jc w:val="left"/>
        <w:rPr>
          <w:b/>
          <w:color w:val="auto"/>
          <w:sz w:val="32"/>
          <w:lang w:val="fr-FR"/>
        </w:rPr>
      </w:pPr>
      <w:r w:rsidRPr="00B07A19">
        <w:rPr>
          <w:b/>
          <w:color w:val="auto"/>
          <w:sz w:val="32"/>
          <w:lang w:val="fr-FR"/>
        </w:rPr>
        <w:t>Comparatif entre les sociétés coopératives et les sociétés civiles en tant que bénéficiaires du tarif d’injection de centrales photovoltaïques d’une puissance de crête entre 30 kW et 200 kW</w:t>
      </w:r>
    </w:p>
    <w:p w14:paraId="56C9B612" w14:textId="77777777" w:rsidR="00FA1A7C" w:rsidRDefault="00FA1A7C" w:rsidP="00FA1A7C">
      <w:pPr>
        <w:rPr>
          <w:lang w:val="fr-FR"/>
        </w:rPr>
      </w:pPr>
    </w:p>
    <w:p w14:paraId="1FFB576A" w14:textId="302A4D28" w:rsidR="00B07A19" w:rsidRPr="00B07A19" w:rsidRDefault="00B07A19" w:rsidP="00FA1A7C">
      <w:pPr>
        <w:rPr>
          <w:color w:val="auto"/>
          <w:lang w:val="fr-FR"/>
        </w:rPr>
      </w:pPr>
      <w:r w:rsidRPr="00B07A19">
        <w:rPr>
          <w:color w:val="auto"/>
          <w:lang w:val="fr-FR"/>
        </w:rPr>
        <w:t xml:space="preserve">Version : </w:t>
      </w:r>
      <w:r w:rsidR="002E23C5">
        <w:rPr>
          <w:color w:val="auto"/>
          <w:lang w:val="fr-FR"/>
        </w:rPr>
        <w:t>février</w:t>
      </w:r>
      <w:r w:rsidRPr="00B07A19">
        <w:rPr>
          <w:color w:val="auto"/>
          <w:lang w:val="fr-FR"/>
        </w:rPr>
        <w:t xml:space="preserve"> 201</w:t>
      </w:r>
      <w:r w:rsidR="002E23C5">
        <w:rPr>
          <w:color w:val="auto"/>
          <w:lang w:val="fr-FR"/>
        </w:rPr>
        <w:t>8</w:t>
      </w:r>
    </w:p>
    <w:p w14:paraId="085532C9" w14:textId="77777777" w:rsidR="00B07A19" w:rsidRDefault="00B07A19" w:rsidP="00FA1A7C">
      <w:pPr>
        <w:rPr>
          <w:lang w:val="fr-FR"/>
        </w:rPr>
      </w:pPr>
    </w:p>
    <w:p w14:paraId="478A021D" w14:textId="77777777" w:rsidR="00B07A19" w:rsidRDefault="00B07A19" w:rsidP="00FA1A7C">
      <w:pPr>
        <w:rPr>
          <w:lang w:val="fr-FR"/>
        </w:rPr>
      </w:pPr>
    </w:p>
    <w:p w14:paraId="147FFC1D" w14:textId="77777777" w:rsidR="00B07A19" w:rsidRDefault="00B07A19" w:rsidP="00FA1A7C">
      <w:pPr>
        <w:rPr>
          <w:lang w:val="fr-FR"/>
        </w:rPr>
      </w:pPr>
    </w:p>
    <w:p w14:paraId="12BED299" w14:textId="77777777" w:rsidR="00B07A19" w:rsidRDefault="00B07A19" w:rsidP="00FA1A7C">
      <w:pPr>
        <w:rPr>
          <w:lang w:val="fr-FR"/>
        </w:rPr>
      </w:pPr>
    </w:p>
    <w:p w14:paraId="0B3028AE" w14:textId="77777777" w:rsidR="00B07A19" w:rsidRPr="003804EA" w:rsidRDefault="00B07A19" w:rsidP="00FA1A7C">
      <w:pPr>
        <w:rPr>
          <w:lang w:val="fr-FR"/>
        </w:rPr>
      </w:pPr>
    </w:p>
    <w:tbl>
      <w:tblPr>
        <w:tblW w:w="1020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0"/>
      </w:tblGrid>
      <w:tr w:rsidR="00B07A19" w:rsidRPr="00322507" w14:paraId="263D239D" w14:textId="77777777" w:rsidTr="00B07A19">
        <w:trPr>
          <w:trHeight w:val="3180"/>
        </w:trPr>
        <w:tc>
          <w:tcPr>
            <w:tcW w:w="10200" w:type="dxa"/>
            <w:shd w:val="clear" w:color="auto" w:fill="FFFFFF" w:themeFill="background1"/>
          </w:tcPr>
          <w:p w14:paraId="414599D2" w14:textId="5124FD23" w:rsidR="00B07A19" w:rsidRPr="00B07A19" w:rsidRDefault="00B07A19" w:rsidP="00B07A19">
            <w:pPr>
              <w:rPr>
                <w:color w:val="auto"/>
                <w:lang w:val="fr-FR"/>
              </w:rPr>
            </w:pPr>
            <w:r w:rsidRPr="00B07A19">
              <w:rPr>
                <w:color w:val="auto"/>
                <w:lang w:val="fr-FR"/>
              </w:rPr>
              <w:t xml:space="preserve">Le texte suivant se comprend comme une proposition pour un </w:t>
            </w:r>
            <w:r w:rsidR="00B079F7">
              <w:rPr>
                <w:color w:val="auto"/>
                <w:lang w:val="fr-FR"/>
              </w:rPr>
              <w:t xml:space="preserve">tableau </w:t>
            </w:r>
            <w:r w:rsidRPr="00B07A19">
              <w:rPr>
                <w:color w:val="auto"/>
                <w:lang w:val="fr-FR"/>
              </w:rPr>
              <w:t>comparatif entre les sociétés coopératives et les sociétés civiles en tant que bénéficiaires du tarif d’injection de centrales photovoltaïques d’une puissance de crête entre 30 kW et 200 kW dans le cadre du :</w:t>
            </w:r>
          </w:p>
          <w:p w14:paraId="262ADB5E" w14:textId="77777777" w:rsidR="00B07A19" w:rsidRPr="00B07A19" w:rsidRDefault="00B07A19" w:rsidP="00B07A19">
            <w:pPr>
              <w:rPr>
                <w:color w:val="auto"/>
                <w:lang w:val="fr-FR"/>
              </w:rPr>
            </w:pPr>
            <w:r w:rsidRPr="00B07A19">
              <w:rPr>
                <w:color w:val="auto"/>
                <w:lang w:val="fr-FR"/>
              </w:rPr>
              <w:t>Règlement grand-ducal du 23 juillet 2016 modifiant 1. le règlement grand-ducal du 1er août 2014 relatif à la production d’électricité basée sur les sources d’énergie renouvelables; 2. le règlement grand-ducal modifié du 31 mars 2010 relatif au mécanisme de compensation dans le cadre de l’organisation du marché de l’électricité.</w:t>
            </w:r>
          </w:p>
          <w:p w14:paraId="391CB4E2" w14:textId="77777777" w:rsidR="00B07A19" w:rsidRDefault="00B07A19" w:rsidP="00FA1A7C">
            <w:pPr>
              <w:rPr>
                <w:color w:val="auto"/>
                <w:lang w:val="fr-FR"/>
              </w:rPr>
            </w:pPr>
            <w:proofErr w:type="spellStart"/>
            <w:r w:rsidRPr="00B07A19">
              <w:rPr>
                <w:color w:val="auto"/>
                <w:lang w:val="fr-FR"/>
              </w:rPr>
              <w:t>My</w:t>
            </w:r>
            <w:proofErr w:type="spellEnd"/>
            <w:r w:rsidRPr="00B07A19">
              <w:rPr>
                <w:color w:val="auto"/>
                <w:lang w:val="fr-FR"/>
              </w:rPr>
              <w:t xml:space="preserve"> Energy G.I.E. décline toute responsabilité quant à l’exhaustivité et à l’exactitude des informations fournies dans ce texte. Les informations peuvent être assujetties à des modifications ultérieures.</w:t>
            </w:r>
          </w:p>
          <w:p w14:paraId="51E701CE" w14:textId="61DED318" w:rsidR="002E23C5" w:rsidRDefault="002E23C5" w:rsidP="00FA1A7C">
            <w:pPr>
              <w:rPr>
                <w:lang w:val="fr-FR"/>
              </w:rPr>
            </w:pPr>
            <w:r w:rsidRPr="002E23C5">
              <w:rPr>
                <w:color w:val="auto"/>
                <w:lang w:val="fr-FR"/>
              </w:rPr>
              <w:t>Seuls les textes légaux font foi</w:t>
            </w:r>
            <w:r>
              <w:rPr>
                <w:color w:val="auto"/>
                <w:lang w:val="fr-FR"/>
              </w:rPr>
              <w:t>.</w:t>
            </w:r>
          </w:p>
        </w:tc>
      </w:tr>
    </w:tbl>
    <w:p w14:paraId="360E5E8E" w14:textId="77777777" w:rsidR="00FA1A7C" w:rsidRPr="003804EA" w:rsidRDefault="00FA1A7C" w:rsidP="00FA1A7C">
      <w:pPr>
        <w:rPr>
          <w:lang w:val="fr-FR"/>
        </w:rPr>
      </w:pPr>
    </w:p>
    <w:p w14:paraId="604E3CC9" w14:textId="77777777" w:rsidR="00D208D4" w:rsidRDefault="00D208D4" w:rsidP="00FA1A7C">
      <w:pPr>
        <w:rPr>
          <w:b/>
          <w:color w:val="F4B51D"/>
          <w:sz w:val="32"/>
          <w:lang w:val="fr-FR"/>
        </w:rPr>
        <w:sectPr w:rsidR="00D208D4" w:rsidSect="00FA1A7C">
          <w:headerReference w:type="even" r:id="rId8"/>
          <w:footerReference w:type="even" r:id="rId9"/>
          <w:footerReference w:type="default" r:id="rId10"/>
          <w:headerReference w:type="first" r:id="rId11"/>
          <w:footerReference w:type="first" r:id="rId12"/>
          <w:pgSz w:w="11900" w:h="16840"/>
          <w:pgMar w:top="2552" w:right="1098" w:bottom="1417" w:left="1021" w:header="2552" w:footer="680" w:gutter="0"/>
          <w:cols w:space="708"/>
          <w:titlePg/>
        </w:sectPr>
      </w:pPr>
    </w:p>
    <w:tbl>
      <w:tblPr>
        <w:tblStyle w:val="Grilledutableau"/>
        <w:tblW w:w="21972" w:type="dxa"/>
        <w:tblInd w:w="-572" w:type="dxa"/>
        <w:tblLook w:val="04A0" w:firstRow="1" w:lastRow="0" w:firstColumn="1" w:lastColumn="0" w:noHBand="0" w:noVBand="1"/>
      </w:tblPr>
      <w:tblGrid>
        <w:gridCol w:w="2268"/>
        <w:gridCol w:w="9214"/>
        <w:gridCol w:w="10490"/>
      </w:tblGrid>
      <w:tr w:rsidR="00B07A19" w:rsidRPr="00B07A19" w14:paraId="2D7944C5" w14:textId="77777777" w:rsidTr="00BF30BB">
        <w:tc>
          <w:tcPr>
            <w:tcW w:w="21972" w:type="dxa"/>
            <w:gridSpan w:val="3"/>
            <w:shd w:val="clear" w:color="auto" w:fill="5B9BD5" w:themeFill="accent1"/>
          </w:tcPr>
          <w:p w14:paraId="75804922" w14:textId="77777777" w:rsidR="00B07A19" w:rsidRPr="00B07A19" w:rsidRDefault="00B07A19" w:rsidP="00BF30BB">
            <w:pPr>
              <w:shd w:val="clear" w:color="auto" w:fill="5B9BD5" w:themeFill="accent1"/>
              <w:spacing w:after="120"/>
              <w:jc w:val="center"/>
              <w:rPr>
                <w:rFonts w:cs="Arial"/>
                <w:b/>
                <w:color w:val="000000" w:themeColor="text1"/>
                <w:sz w:val="32"/>
                <w:szCs w:val="32"/>
                <w:lang w:val="fr-FR"/>
              </w:rPr>
            </w:pPr>
            <w:r w:rsidRPr="00B07A19">
              <w:rPr>
                <w:rFonts w:cs="Arial"/>
                <w:b/>
                <w:color w:val="000000" w:themeColor="text1"/>
                <w:sz w:val="32"/>
                <w:szCs w:val="32"/>
                <w:lang w:val="fr-FR"/>
              </w:rPr>
              <w:lastRenderedPageBreak/>
              <w:t>Les sociétés coopératives et les sociétés civiles en tant que bénéficiaires du tarif d’injection de centrales photovoltaïques d’une puissance de crête entre 30 kW et 200 kW</w:t>
            </w:r>
          </w:p>
          <w:p w14:paraId="55829011" w14:textId="77777777" w:rsidR="00B07A19" w:rsidRPr="00B07A19" w:rsidRDefault="00B07A19" w:rsidP="00B079F7">
            <w:pPr>
              <w:spacing w:after="120"/>
              <w:jc w:val="center"/>
              <w:rPr>
                <w:rFonts w:cs="Arial"/>
                <w:color w:val="000000" w:themeColor="text1"/>
                <w:sz w:val="20"/>
                <w:szCs w:val="20"/>
                <w:lang w:val="fr-FR"/>
              </w:rPr>
            </w:pPr>
            <w:r w:rsidRPr="00B07A19">
              <w:rPr>
                <w:rFonts w:cs="Arial"/>
                <w:color w:val="000000" w:themeColor="text1"/>
                <w:sz w:val="20"/>
                <w:szCs w:val="20"/>
                <w:lang w:val="fr-FR"/>
              </w:rPr>
              <w:t>(article 17bis du règlement grand-ducal modifié du 1</w:t>
            </w:r>
            <w:r w:rsidRPr="00B07A19">
              <w:rPr>
                <w:rFonts w:cs="Arial"/>
                <w:color w:val="000000" w:themeColor="text1"/>
                <w:sz w:val="20"/>
                <w:szCs w:val="20"/>
                <w:vertAlign w:val="superscript"/>
                <w:lang w:val="fr-FR"/>
              </w:rPr>
              <w:t>er</w:t>
            </w:r>
            <w:r w:rsidRPr="00B07A19">
              <w:rPr>
                <w:rFonts w:cs="Arial"/>
                <w:color w:val="000000" w:themeColor="text1"/>
                <w:sz w:val="20"/>
                <w:szCs w:val="20"/>
                <w:lang w:val="fr-FR"/>
              </w:rPr>
              <w:t xml:space="preserve"> août 2014 relatif à la production d’électricité basée sur les sources d’énergie renouvelables)</w:t>
            </w:r>
            <w:r w:rsidRPr="00B07A19">
              <w:rPr>
                <w:rStyle w:val="Appelnotedebasdep"/>
                <w:rFonts w:cs="Arial"/>
                <w:sz w:val="20"/>
                <w:szCs w:val="20"/>
                <w:lang w:val="fr-FR"/>
              </w:rPr>
              <w:footnoteReference w:id="1"/>
            </w:r>
          </w:p>
          <w:p w14:paraId="312682EB" w14:textId="63373952" w:rsidR="00B07A19" w:rsidRPr="00B07A19" w:rsidRDefault="00B07A19" w:rsidP="00B079F7">
            <w:pPr>
              <w:spacing w:after="120"/>
              <w:jc w:val="center"/>
              <w:rPr>
                <w:rFonts w:cs="Arial"/>
                <w:b/>
                <w:color w:val="000000" w:themeColor="text1"/>
                <w:sz w:val="32"/>
                <w:szCs w:val="32"/>
                <w:lang w:val="fr-FR"/>
              </w:rPr>
            </w:pPr>
            <w:r w:rsidRPr="00B07A19">
              <w:rPr>
                <w:rFonts w:cs="Arial"/>
                <w:b/>
                <w:color w:val="000000" w:themeColor="text1"/>
                <w:sz w:val="32"/>
                <w:szCs w:val="32"/>
                <w:lang w:val="fr-FR"/>
              </w:rPr>
              <w:t>COMPARATIF</w:t>
            </w:r>
            <w:r w:rsidRPr="00B07A19">
              <w:rPr>
                <w:rStyle w:val="Appelnotedebasdep"/>
                <w:rFonts w:cs="Arial"/>
                <w:b/>
                <w:sz w:val="32"/>
                <w:szCs w:val="32"/>
                <w:lang w:val="fr-FR"/>
              </w:rPr>
              <w:footnoteReference w:id="2"/>
            </w:r>
          </w:p>
        </w:tc>
      </w:tr>
      <w:tr w:rsidR="00B07A19" w:rsidRPr="00322507" w14:paraId="6555160C" w14:textId="77777777" w:rsidTr="00F10320">
        <w:tc>
          <w:tcPr>
            <w:tcW w:w="21972" w:type="dxa"/>
            <w:gridSpan w:val="3"/>
          </w:tcPr>
          <w:p w14:paraId="204FF36A" w14:textId="1C9AC3C8"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Le règlement grand-ducal du 23 juillet 2016 a introduit la possibilité d’un tarif d’injection garanti pour des centrales de production d’énergie électrique à partir de l’énergie solaire installées sur une surface imperméable injectant dans le réseau à partir du 1</w:t>
            </w:r>
            <w:r w:rsidRPr="00B07A19">
              <w:rPr>
                <w:rFonts w:cs="Arial"/>
                <w:color w:val="000000" w:themeColor="text1"/>
                <w:sz w:val="20"/>
                <w:szCs w:val="20"/>
                <w:vertAlign w:val="superscript"/>
                <w:lang w:val="fr-FR"/>
              </w:rPr>
              <w:t>er</w:t>
            </w:r>
            <w:r w:rsidRPr="00B07A19">
              <w:rPr>
                <w:rFonts w:cs="Arial"/>
                <w:color w:val="000000" w:themeColor="text1"/>
                <w:sz w:val="20"/>
                <w:szCs w:val="20"/>
                <w:lang w:val="fr-FR"/>
              </w:rPr>
              <w:t xml:space="preserve"> janvier 2016 d’une puissance supérieure à 30 kW et inférieure ou égale à 100 kW d’une part et d’une puissance supérieure à 100 kW et inférieure </w:t>
            </w:r>
            <w:r w:rsidR="00B079F7">
              <w:rPr>
                <w:rFonts w:cs="Arial"/>
                <w:color w:val="000000" w:themeColor="text1"/>
                <w:sz w:val="20"/>
                <w:szCs w:val="20"/>
                <w:lang w:val="fr-FR"/>
              </w:rPr>
              <w:t>ou égale à 200 kW d’autre part.</w:t>
            </w:r>
          </w:p>
          <w:p w14:paraId="662CF237"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 xml:space="preserve">Pour pouvoir bénéficier de cette rémunération le producteur doit revêtir obligatoirement la forme d’une société coopérative (suivant règlement grand-ducal du 23 juillet 2016) ou d’une société civile (suivant règlement grand-ducal du 24 avril 2017) composée d’au moins sept personnes qui doivent être des personnes physiques, des </w:t>
            </w:r>
            <w:proofErr w:type="spellStart"/>
            <w:r w:rsidRPr="00B07A19">
              <w:rPr>
                <w:rFonts w:cs="Arial"/>
                <w:color w:val="000000" w:themeColor="text1"/>
                <w:sz w:val="20"/>
                <w:szCs w:val="20"/>
                <w:lang w:val="fr-FR"/>
              </w:rPr>
              <w:t>a.s.b.l</w:t>
            </w:r>
            <w:proofErr w:type="spellEnd"/>
            <w:r w:rsidRPr="00B07A19">
              <w:rPr>
                <w:rFonts w:cs="Arial"/>
                <w:color w:val="000000" w:themeColor="text1"/>
                <w:sz w:val="20"/>
                <w:szCs w:val="20"/>
                <w:lang w:val="fr-FR"/>
              </w:rPr>
              <w:t>. ou des fondations.</w:t>
            </w:r>
          </w:p>
        </w:tc>
      </w:tr>
      <w:tr w:rsidR="00B07A19" w:rsidRPr="00B07A19" w14:paraId="5F596EEC" w14:textId="77777777" w:rsidTr="00BF30BB">
        <w:tc>
          <w:tcPr>
            <w:tcW w:w="2268" w:type="dxa"/>
            <w:shd w:val="clear" w:color="auto" w:fill="5B9BD5" w:themeFill="accent1"/>
          </w:tcPr>
          <w:p w14:paraId="0C3BC40C" w14:textId="77777777" w:rsidR="00B07A19" w:rsidRPr="00B07A19" w:rsidRDefault="00B07A19" w:rsidP="00B079F7">
            <w:pPr>
              <w:spacing w:after="120"/>
              <w:rPr>
                <w:rFonts w:cs="Arial"/>
                <w:color w:val="000000" w:themeColor="text1"/>
                <w:sz w:val="20"/>
                <w:szCs w:val="20"/>
                <w:lang w:val="fr-FR"/>
              </w:rPr>
            </w:pPr>
          </w:p>
        </w:tc>
        <w:tc>
          <w:tcPr>
            <w:tcW w:w="9214" w:type="dxa"/>
            <w:shd w:val="clear" w:color="auto" w:fill="5B9BD5" w:themeFill="accent1"/>
          </w:tcPr>
          <w:p w14:paraId="6BDCB33C" w14:textId="77777777" w:rsidR="00B07A19" w:rsidRPr="00B07A19" w:rsidRDefault="00B07A19" w:rsidP="00B079F7">
            <w:pPr>
              <w:spacing w:after="120"/>
              <w:jc w:val="center"/>
              <w:rPr>
                <w:rFonts w:cs="Arial"/>
                <w:b/>
                <w:color w:val="000000" w:themeColor="text1"/>
                <w:sz w:val="20"/>
                <w:szCs w:val="20"/>
                <w:lang w:val="fr-FR"/>
              </w:rPr>
            </w:pPr>
            <w:r w:rsidRPr="00B07A19">
              <w:rPr>
                <w:rFonts w:cs="Arial"/>
                <w:b/>
                <w:color w:val="000000" w:themeColor="text1"/>
                <w:sz w:val="20"/>
                <w:szCs w:val="20"/>
                <w:lang w:val="fr-FR"/>
              </w:rPr>
              <w:t>Société coopérative</w:t>
            </w:r>
          </w:p>
        </w:tc>
        <w:tc>
          <w:tcPr>
            <w:tcW w:w="10490" w:type="dxa"/>
            <w:shd w:val="clear" w:color="auto" w:fill="5B9BD5" w:themeFill="accent1"/>
          </w:tcPr>
          <w:p w14:paraId="0CD4EB74" w14:textId="77777777" w:rsidR="00B07A19" w:rsidRPr="00B07A19" w:rsidRDefault="00B07A19" w:rsidP="00B079F7">
            <w:pPr>
              <w:spacing w:after="120"/>
              <w:jc w:val="center"/>
              <w:rPr>
                <w:rFonts w:cs="Arial"/>
                <w:b/>
                <w:color w:val="000000" w:themeColor="text1"/>
                <w:sz w:val="20"/>
                <w:szCs w:val="20"/>
                <w:lang w:val="fr-FR"/>
              </w:rPr>
            </w:pPr>
            <w:r w:rsidRPr="00B07A19">
              <w:rPr>
                <w:rFonts w:cs="Arial"/>
                <w:b/>
                <w:color w:val="000000" w:themeColor="text1"/>
                <w:sz w:val="20"/>
                <w:szCs w:val="20"/>
                <w:lang w:val="fr-FR"/>
              </w:rPr>
              <w:t>Société civile</w:t>
            </w:r>
          </w:p>
        </w:tc>
      </w:tr>
      <w:tr w:rsidR="00B07A19" w:rsidRPr="00B07A19" w14:paraId="4BDB6413" w14:textId="77777777" w:rsidTr="00BF30BB">
        <w:tc>
          <w:tcPr>
            <w:tcW w:w="2268" w:type="dxa"/>
            <w:shd w:val="clear" w:color="auto" w:fill="5B9BD5" w:themeFill="accent1"/>
          </w:tcPr>
          <w:p w14:paraId="510C3328"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Bases légales</w:t>
            </w:r>
          </w:p>
        </w:tc>
        <w:tc>
          <w:tcPr>
            <w:tcW w:w="9214" w:type="dxa"/>
          </w:tcPr>
          <w:p w14:paraId="5C1361B1"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 xml:space="preserve">Art. 113 </w:t>
            </w:r>
            <w:proofErr w:type="spellStart"/>
            <w:r w:rsidRPr="00B07A19">
              <w:rPr>
                <w:rFonts w:cs="Arial"/>
                <w:color w:val="000000" w:themeColor="text1"/>
                <w:sz w:val="20"/>
                <w:szCs w:val="20"/>
                <w:lang w:val="fr-FR"/>
              </w:rPr>
              <w:t>ss</w:t>
            </w:r>
            <w:proofErr w:type="spellEnd"/>
            <w:r w:rsidRPr="00B07A19">
              <w:rPr>
                <w:rFonts w:cs="Arial"/>
                <w:color w:val="000000" w:themeColor="text1"/>
                <w:sz w:val="20"/>
                <w:szCs w:val="20"/>
                <w:lang w:val="fr-FR"/>
              </w:rPr>
              <w:t xml:space="preserve"> LSC</w:t>
            </w:r>
            <w:r w:rsidRPr="00B07A19">
              <w:rPr>
                <w:rStyle w:val="Appelnotedebasdep"/>
                <w:rFonts w:cs="Arial"/>
                <w:sz w:val="20"/>
                <w:szCs w:val="20"/>
                <w:lang w:val="fr-FR"/>
              </w:rPr>
              <w:footnoteReference w:id="3"/>
            </w:r>
          </w:p>
        </w:tc>
        <w:tc>
          <w:tcPr>
            <w:tcW w:w="10490" w:type="dxa"/>
          </w:tcPr>
          <w:p w14:paraId="6E97AD2C"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 xml:space="preserve">Art. 1832 </w:t>
            </w:r>
            <w:proofErr w:type="spellStart"/>
            <w:r w:rsidRPr="00B07A19">
              <w:rPr>
                <w:rFonts w:cs="Arial"/>
                <w:color w:val="000000" w:themeColor="text1"/>
                <w:sz w:val="20"/>
                <w:szCs w:val="20"/>
                <w:lang w:val="fr-FR"/>
              </w:rPr>
              <w:t>ss</w:t>
            </w:r>
            <w:proofErr w:type="spellEnd"/>
            <w:r w:rsidRPr="00B07A19">
              <w:rPr>
                <w:rFonts w:cs="Arial"/>
                <w:color w:val="000000" w:themeColor="text1"/>
                <w:sz w:val="20"/>
                <w:szCs w:val="20"/>
                <w:lang w:val="fr-FR"/>
              </w:rPr>
              <w:t>. Code civil</w:t>
            </w:r>
          </w:p>
        </w:tc>
      </w:tr>
      <w:tr w:rsidR="00B07A19" w:rsidRPr="00B07A19" w14:paraId="5F5B41D0" w14:textId="77777777" w:rsidTr="00BF30BB">
        <w:tc>
          <w:tcPr>
            <w:tcW w:w="2268" w:type="dxa"/>
            <w:shd w:val="clear" w:color="auto" w:fill="5B9BD5" w:themeFill="accent1"/>
          </w:tcPr>
          <w:p w14:paraId="3A9B06BE"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Caractéristiques générales</w:t>
            </w:r>
          </w:p>
        </w:tc>
        <w:tc>
          <w:tcPr>
            <w:tcW w:w="9214" w:type="dxa"/>
          </w:tcPr>
          <w:p w14:paraId="685E78B1"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Société hybride de nature particulière située entre sociétés de capitaux et sociétés de personnes. Variabilité des associés. Société fonctionnant selon le principe de la « porte ouverte ». La société coopérative est censée favoriser les mouvements au sein des associés.</w:t>
            </w:r>
          </w:p>
        </w:tc>
        <w:tc>
          <w:tcPr>
            <w:tcW w:w="10490" w:type="dxa"/>
          </w:tcPr>
          <w:p w14:paraId="0B491E0F"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Importance de l’</w:t>
            </w:r>
            <w:r w:rsidRPr="00B07A19">
              <w:rPr>
                <w:rFonts w:cs="Arial"/>
                <w:i/>
                <w:color w:val="000000" w:themeColor="text1"/>
                <w:sz w:val="20"/>
                <w:szCs w:val="20"/>
                <w:lang w:val="fr-FR"/>
              </w:rPr>
              <w:t>intuitu personae</w:t>
            </w:r>
            <w:r w:rsidRPr="00B07A19">
              <w:rPr>
                <w:rFonts w:cs="Arial"/>
                <w:color w:val="000000" w:themeColor="text1"/>
                <w:sz w:val="20"/>
                <w:szCs w:val="20"/>
                <w:lang w:val="fr-FR"/>
              </w:rPr>
              <w:t> ; importance de la liberté contractuelle.</w:t>
            </w:r>
          </w:p>
          <w:p w14:paraId="0F12CD50"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Société de personnes.</w:t>
            </w:r>
          </w:p>
        </w:tc>
      </w:tr>
      <w:tr w:rsidR="00B07A19" w:rsidRPr="00322507" w14:paraId="714851EA" w14:textId="77777777" w:rsidTr="00BF30BB">
        <w:tc>
          <w:tcPr>
            <w:tcW w:w="2268" w:type="dxa"/>
            <w:shd w:val="clear" w:color="auto" w:fill="5B9BD5" w:themeFill="accent1"/>
          </w:tcPr>
          <w:p w14:paraId="4AF8BAE7"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Objet</w:t>
            </w:r>
          </w:p>
        </w:tc>
        <w:tc>
          <w:tcPr>
            <w:tcW w:w="9214" w:type="dxa"/>
          </w:tcPr>
          <w:p w14:paraId="432710CD"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Société commerciale.</w:t>
            </w:r>
          </w:p>
        </w:tc>
        <w:tc>
          <w:tcPr>
            <w:tcW w:w="10490" w:type="dxa"/>
          </w:tcPr>
          <w:p w14:paraId="4CBC5CFE"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 xml:space="preserve">Objet civil. </w:t>
            </w:r>
            <w:r w:rsidRPr="00B07A19">
              <w:rPr>
                <w:rFonts w:cs="Arial"/>
                <w:i/>
                <w:color w:val="000000" w:themeColor="text1"/>
                <w:sz w:val="20"/>
                <w:szCs w:val="20"/>
                <w:lang w:val="fr-FR"/>
              </w:rPr>
              <w:t>(</w:t>
            </w:r>
            <w:r w:rsidRPr="00B07A19">
              <w:rPr>
                <w:rFonts w:cs="Arial"/>
                <w:i/>
                <w:color w:val="000000" w:themeColor="text1"/>
                <w:sz w:val="20"/>
                <w:szCs w:val="20"/>
                <w:lang w:val="fr-FR"/>
              </w:rPr>
              <w:sym w:font="Wingdings" w:char="F0E8"/>
            </w:r>
            <w:r w:rsidRPr="00B07A19">
              <w:rPr>
                <w:rFonts w:cs="Arial"/>
                <w:i/>
                <w:color w:val="000000" w:themeColor="text1"/>
                <w:sz w:val="20"/>
                <w:szCs w:val="20"/>
                <w:lang w:val="fr-FR"/>
              </w:rPr>
              <w:t xml:space="preserve"> attention : les capacités de production de la centrale exploitée par la société civile ne doivent pas excéder les besoins domestiques de ses associés sous peine de voir requalifier l’activité de la société en activité commerciale. Dans ce cas la société aura pris de manière irrégulière la forme de société civile et sera réputée société en nom collectif avec toutes les conséquences qui s’ensuivent : obligation solidaire et indéfinie des associés au passif social ; assujettissement à la fiscalité des entreprises ; refus et remboursement du tarif d’injection, etc.)</w:t>
            </w:r>
          </w:p>
        </w:tc>
      </w:tr>
      <w:tr w:rsidR="00B07A19" w:rsidRPr="00322507" w14:paraId="2A88DE5D" w14:textId="77777777" w:rsidTr="00BF30BB">
        <w:tc>
          <w:tcPr>
            <w:tcW w:w="2268" w:type="dxa"/>
            <w:shd w:val="clear" w:color="auto" w:fill="5B9BD5" w:themeFill="accent1"/>
          </w:tcPr>
          <w:p w14:paraId="7E7B6F72"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Capital</w:t>
            </w:r>
          </w:p>
        </w:tc>
        <w:tc>
          <w:tcPr>
            <w:tcW w:w="9214" w:type="dxa"/>
          </w:tcPr>
          <w:p w14:paraId="606F68EA"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Variabilité du capital (conséquence de la variabilité des associés).</w:t>
            </w:r>
          </w:p>
        </w:tc>
        <w:tc>
          <w:tcPr>
            <w:tcW w:w="10490" w:type="dxa"/>
          </w:tcPr>
          <w:p w14:paraId="2D18C6A1"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Absence de capital minimal. Le montant du capital social peut être librement déterminé. Toutefois : il ne peut pas être inexistant. Son montant fait obligatoirement partie des statuts.</w:t>
            </w:r>
          </w:p>
        </w:tc>
      </w:tr>
      <w:tr w:rsidR="00B07A19" w:rsidRPr="00322507" w14:paraId="1283E347" w14:textId="77777777" w:rsidTr="00BF30BB">
        <w:tc>
          <w:tcPr>
            <w:tcW w:w="2268" w:type="dxa"/>
            <w:shd w:val="clear" w:color="auto" w:fill="5B9BD5" w:themeFill="accent1"/>
          </w:tcPr>
          <w:p w14:paraId="5FC76163"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Parts sociales</w:t>
            </w:r>
          </w:p>
        </w:tc>
        <w:tc>
          <w:tcPr>
            <w:tcW w:w="9214" w:type="dxa"/>
          </w:tcPr>
          <w:p w14:paraId="7EEFF75E"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Incessibilité absolue à des tiers. La cession aux associés existants est possible si elle est autorisée par les statuts.</w:t>
            </w:r>
          </w:p>
        </w:tc>
        <w:tc>
          <w:tcPr>
            <w:tcW w:w="10490" w:type="dxa"/>
          </w:tcPr>
          <w:p w14:paraId="56F1BA46"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Incessibles, sauf accord de l’unanimité des associés. Mais les statuts peuvent prévoir la possibilité de la cession en cas d’accord par la majorité des associés.</w:t>
            </w:r>
          </w:p>
        </w:tc>
      </w:tr>
      <w:tr w:rsidR="00B07A19" w:rsidRPr="00322507" w14:paraId="3A3A594A" w14:textId="77777777" w:rsidTr="00BF30BB">
        <w:tc>
          <w:tcPr>
            <w:tcW w:w="2268" w:type="dxa"/>
            <w:shd w:val="clear" w:color="auto" w:fill="5B9BD5" w:themeFill="accent1"/>
          </w:tcPr>
          <w:p w14:paraId="68B2D815"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Statut d’associé</w:t>
            </w:r>
          </w:p>
        </w:tc>
        <w:tc>
          <w:tcPr>
            <w:tcW w:w="9214" w:type="dxa"/>
          </w:tcPr>
          <w:p w14:paraId="30188DCC"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 xml:space="preserve">L’associé doit impérativement être une personne physique, une </w:t>
            </w:r>
            <w:proofErr w:type="spellStart"/>
            <w:r w:rsidRPr="00B07A19">
              <w:rPr>
                <w:rFonts w:cs="Arial"/>
                <w:color w:val="000000" w:themeColor="text1"/>
                <w:sz w:val="20"/>
                <w:szCs w:val="20"/>
                <w:lang w:val="fr-FR"/>
              </w:rPr>
              <w:t>a.s.b.l</w:t>
            </w:r>
            <w:proofErr w:type="spellEnd"/>
            <w:r w:rsidRPr="00B07A19">
              <w:rPr>
                <w:rFonts w:cs="Arial"/>
                <w:color w:val="000000" w:themeColor="text1"/>
                <w:sz w:val="20"/>
                <w:szCs w:val="20"/>
                <w:lang w:val="fr-FR"/>
              </w:rPr>
              <w:t>. ou une fondation (exigence spécifique posée par l’article 17bis du règlement grand-ducal modifié du 1</w:t>
            </w:r>
            <w:r w:rsidRPr="00B07A19">
              <w:rPr>
                <w:rFonts w:cs="Arial"/>
                <w:color w:val="000000" w:themeColor="text1"/>
                <w:sz w:val="20"/>
                <w:szCs w:val="20"/>
                <w:vertAlign w:val="superscript"/>
                <w:lang w:val="fr-FR"/>
              </w:rPr>
              <w:t>er</w:t>
            </w:r>
            <w:r w:rsidRPr="00B07A19">
              <w:rPr>
                <w:rFonts w:cs="Arial"/>
                <w:color w:val="000000" w:themeColor="text1"/>
                <w:sz w:val="20"/>
                <w:szCs w:val="20"/>
                <w:lang w:val="fr-FR"/>
              </w:rPr>
              <w:t xml:space="preserve"> août 2014 par rapport au droit général).</w:t>
            </w:r>
          </w:p>
          <w:p w14:paraId="01BD3584" w14:textId="77777777" w:rsidR="00B07A19" w:rsidRPr="00B07A19" w:rsidRDefault="00B07A19" w:rsidP="00B079F7">
            <w:pPr>
              <w:spacing w:after="120"/>
              <w:rPr>
                <w:rFonts w:cs="Arial"/>
                <w:color w:val="000000" w:themeColor="text1"/>
                <w:sz w:val="20"/>
                <w:szCs w:val="20"/>
                <w:lang w:val="fr-FR"/>
              </w:rPr>
            </w:pPr>
            <w:r w:rsidRPr="00B079F7">
              <w:rPr>
                <w:rFonts w:cs="Arial"/>
                <w:color w:val="000000" w:themeColor="text1"/>
                <w:sz w:val="20"/>
                <w:szCs w:val="20"/>
                <w:lang w:val="fr-FR"/>
              </w:rPr>
              <w:t>L’acquisition du statut d’associé n’est pas en lui-même un acte de commerce. Il suffit donc que l’associé ait la capacité juridique pour souscrire des parts sociales. Le mineur représenté par ses parents peut ainsi souscrire des parts.</w:t>
            </w:r>
          </w:p>
        </w:tc>
        <w:tc>
          <w:tcPr>
            <w:tcW w:w="10490" w:type="dxa"/>
          </w:tcPr>
          <w:p w14:paraId="52BAAD5E"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 xml:space="preserve">L’associé doit impérativement être une personne physique, une </w:t>
            </w:r>
            <w:proofErr w:type="spellStart"/>
            <w:r w:rsidRPr="00B07A19">
              <w:rPr>
                <w:rFonts w:cs="Arial"/>
                <w:color w:val="000000" w:themeColor="text1"/>
                <w:sz w:val="20"/>
                <w:szCs w:val="20"/>
                <w:lang w:val="fr-FR"/>
              </w:rPr>
              <w:t>a.s.b.l</w:t>
            </w:r>
            <w:proofErr w:type="spellEnd"/>
            <w:r w:rsidRPr="00B07A19">
              <w:rPr>
                <w:rFonts w:cs="Arial"/>
                <w:color w:val="000000" w:themeColor="text1"/>
                <w:sz w:val="20"/>
                <w:szCs w:val="20"/>
                <w:lang w:val="fr-FR"/>
              </w:rPr>
              <w:t>. ou une fondation (exigence spécifique posée par l’article 17bis du règlement grand-ducal modifié du 1</w:t>
            </w:r>
            <w:r w:rsidRPr="00B07A19">
              <w:rPr>
                <w:rFonts w:cs="Arial"/>
                <w:color w:val="000000" w:themeColor="text1"/>
                <w:sz w:val="20"/>
                <w:szCs w:val="20"/>
                <w:vertAlign w:val="superscript"/>
                <w:lang w:val="fr-FR"/>
              </w:rPr>
              <w:t>er</w:t>
            </w:r>
            <w:r w:rsidRPr="00B07A19">
              <w:rPr>
                <w:rFonts w:cs="Arial"/>
                <w:color w:val="000000" w:themeColor="text1"/>
                <w:sz w:val="20"/>
                <w:szCs w:val="20"/>
                <w:lang w:val="fr-FR"/>
              </w:rPr>
              <w:t xml:space="preserve"> août 2014 par rapport au droit général).</w:t>
            </w:r>
          </w:p>
          <w:p w14:paraId="4E58A838" w14:textId="77777777" w:rsidR="00B07A19" w:rsidRPr="00B07A19" w:rsidRDefault="00B07A19" w:rsidP="00B079F7">
            <w:pPr>
              <w:spacing w:after="120"/>
              <w:rPr>
                <w:rFonts w:cs="Arial"/>
                <w:color w:val="000000" w:themeColor="text1"/>
                <w:sz w:val="20"/>
                <w:szCs w:val="20"/>
                <w:lang w:val="fr-FR"/>
              </w:rPr>
            </w:pPr>
            <w:r w:rsidRPr="00B079F7">
              <w:rPr>
                <w:rFonts w:cs="Arial"/>
                <w:color w:val="000000" w:themeColor="text1"/>
                <w:sz w:val="20"/>
                <w:szCs w:val="20"/>
                <w:lang w:val="fr-FR"/>
              </w:rPr>
              <w:t>Le caractère civil de la société n’exige pas la qualité de commerçant des associés, la capacité civile suffit. Un mineur, un majeur incapable peuvent entrer dans une société civile s’ils sont valablement représentés.</w:t>
            </w:r>
          </w:p>
        </w:tc>
      </w:tr>
      <w:tr w:rsidR="00B07A19" w:rsidRPr="00322507" w14:paraId="51A817A8" w14:textId="77777777" w:rsidTr="00BF30BB">
        <w:tc>
          <w:tcPr>
            <w:tcW w:w="2268" w:type="dxa"/>
            <w:shd w:val="clear" w:color="auto" w:fill="5B9BD5" w:themeFill="accent1"/>
          </w:tcPr>
          <w:p w14:paraId="339AD4E5" w14:textId="6C953CBD"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Nombre d’associés</w:t>
            </w:r>
          </w:p>
        </w:tc>
        <w:tc>
          <w:tcPr>
            <w:tcW w:w="9214" w:type="dxa"/>
          </w:tcPr>
          <w:p w14:paraId="55E63639"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Au moins 7 (exigence spécifique posée par l’article 17bis du règlement grand-ducal modifié du 1</w:t>
            </w:r>
            <w:r w:rsidRPr="00B07A19">
              <w:rPr>
                <w:rFonts w:cs="Arial"/>
                <w:color w:val="000000" w:themeColor="text1"/>
                <w:sz w:val="20"/>
                <w:szCs w:val="20"/>
                <w:vertAlign w:val="superscript"/>
                <w:lang w:val="fr-FR"/>
              </w:rPr>
              <w:t>er</w:t>
            </w:r>
            <w:r w:rsidRPr="00B07A19">
              <w:rPr>
                <w:rFonts w:cs="Arial"/>
                <w:color w:val="000000" w:themeColor="text1"/>
                <w:sz w:val="20"/>
                <w:szCs w:val="20"/>
                <w:lang w:val="fr-FR"/>
              </w:rPr>
              <w:t xml:space="preserve"> août 2014 par rapport au droit général qui exige 2 personnes au moins selon l’article 114 LSC)</w:t>
            </w:r>
          </w:p>
        </w:tc>
        <w:tc>
          <w:tcPr>
            <w:tcW w:w="10490" w:type="dxa"/>
          </w:tcPr>
          <w:p w14:paraId="7BBB0B29"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Au moins 7 (exigence spécifique posée par l’article 17bis du règlement grand-ducal modifié du 1</w:t>
            </w:r>
            <w:r w:rsidRPr="00B07A19">
              <w:rPr>
                <w:rFonts w:cs="Arial"/>
                <w:color w:val="000000" w:themeColor="text1"/>
                <w:sz w:val="20"/>
                <w:szCs w:val="20"/>
                <w:vertAlign w:val="superscript"/>
                <w:lang w:val="fr-FR"/>
              </w:rPr>
              <w:t>er</w:t>
            </w:r>
            <w:r w:rsidRPr="00B07A19">
              <w:rPr>
                <w:rFonts w:cs="Arial"/>
                <w:color w:val="000000" w:themeColor="text1"/>
                <w:sz w:val="20"/>
                <w:szCs w:val="20"/>
                <w:lang w:val="fr-FR"/>
              </w:rPr>
              <w:t xml:space="preserve"> août 2014 par rapport au droit général qui exige 2 personnes au moins selon l’article 1832 Code civil)</w:t>
            </w:r>
          </w:p>
        </w:tc>
      </w:tr>
      <w:tr w:rsidR="00B07A19" w:rsidRPr="00322507" w14:paraId="0FC07F23" w14:textId="77777777" w:rsidTr="00BF30BB">
        <w:tc>
          <w:tcPr>
            <w:tcW w:w="2268" w:type="dxa"/>
            <w:shd w:val="clear" w:color="auto" w:fill="5B9BD5" w:themeFill="accent1"/>
          </w:tcPr>
          <w:p w14:paraId="38A07A4C"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Responsabilité des associés</w:t>
            </w:r>
          </w:p>
        </w:tc>
        <w:tc>
          <w:tcPr>
            <w:tcW w:w="9214" w:type="dxa"/>
          </w:tcPr>
          <w:p w14:paraId="7F808F85" w14:textId="15361144" w:rsidR="00B07A19" w:rsidRPr="00B07A19" w:rsidRDefault="00B07A19" w:rsidP="002E23C5">
            <w:pPr>
              <w:spacing w:after="120"/>
              <w:rPr>
                <w:rFonts w:cs="Arial"/>
                <w:color w:val="000000" w:themeColor="text1"/>
                <w:sz w:val="20"/>
                <w:szCs w:val="20"/>
                <w:lang w:val="fr-FR"/>
              </w:rPr>
            </w:pPr>
            <w:r w:rsidRPr="00B07A19">
              <w:rPr>
                <w:rFonts w:cs="Arial"/>
                <w:color w:val="000000" w:themeColor="text1"/>
                <w:sz w:val="20"/>
                <w:szCs w:val="20"/>
                <w:lang w:val="fr-FR"/>
              </w:rPr>
              <w:t>Choix : responsabilité solidaire et illimitée, responsabilité illimitée et divise ou responsabilité limitée au montant des apports</w:t>
            </w:r>
            <w:r w:rsidRPr="00B079F7">
              <w:rPr>
                <w:rFonts w:cs="Arial"/>
                <w:color w:val="000000" w:themeColor="text1"/>
                <w:sz w:val="20"/>
                <w:szCs w:val="20"/>
                <w:lang w:val="fr-FR"/>
              </w:rPr>
              <w:t>.</w:t>
            </w:r>
          </w:p>
        </w:tc>
        <w:tc>
          <w:tcPr>
            <w:tcW w:w="10490" w:type="dxa"/>
          </w:tcPr>
          <w:p w14:paraId="020EE053"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Responsabilité illimitée mais divise (donc sans solidarité) des associés sur leurs biens personnels.</w:t>
            </w:r>
          </w:p>
        </w:tc>
      </w:tr>
      <w:tr w:rsidR="00B07A19" w:rsidRPr="00322507" w14:paraId="7ED40E6E" w14:textId="77777777" w:rsidTr="00BF30BB">
        <w:tc>
          <w:tcPr>
            <w:tcW w:w="2268" w:type="dxa"/>
            <w:shd w:val="clear" w:color="auto" w:fill="5B9BD5" w:themeFill="accent1"/>
          </w:tcPr>
          <w:p w14:paraId="66DA10EC"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Durée</w:t>
            </w:r>
          </w:p>
        </w:tc>
        <w:tc>
          <w:tcPr>
            <w:tcW w:w="9214" w:type="dxa"/>
          </w:tcPr>
          <w:p w14:paraId="56C808D9"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Limitée ou illimitée.</w:t>
            </w:r>
          </w:p>
        </w:tc>
        <w:tc>
          <w:tcPr>
            <w:tcW w:w="10490" w:type="dxa"/>
          </w:tcPr>
          <w:p w14:paraId="530841E0"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En principe la société finit par la mort d’un de ses associés. Possibilité pour les statuts de prévoir qu’en cas de mort d’un des associés, la société continuera avec son héritier ou entre les associés survivants.</w:t>
            </w:r>
          </w:p>
        </w:tc>
      </w:tr>
      <w:tr w:rsidR="00B07A19" w:rsidRPr="00322507" w14:paraId="5989621E" w14:textId="77777777" w:rsidTr="00BF30BB">
        <w:tc>
          <w:tcPr>
            <w:tcW w:w="2268" w:type="dxa"/>
            <w:shd w:val="clear" w:color="auto" w:fill="5B9BD5" w:themeFill="accent1"/>
          </w:tcPr>
          <w:p w14:paraId="283A8CEC"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Gestion</w:t>
            </w:r>
          </w:p>
        </w:tc>
        <w:tc>
          <w:tcPr>
            <w:tcW w:w="9214" w:type="dxa"/>
          </w:tcPr>
          <w:p w14:paraId="693CF00E"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Administration par un ou plusieurs mandataires, associés ou non.</w:t>
            </w:r>
          </w:p>
        </w:tc>
        <w:tc>
          <w:tcPr>
            <w:tcW w:w="10490" w:type="dxa"/>
          </w:tcPr>
          <w:p w14:paraId="61D23D5F"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Un ou plusieurs « gérants ». Liberté contractuelle pour régler l’administration et les pouvoirs du ou des « gérants ».</w:t>
            </w:r>
          </w:p>
        </w:tc>
      </w:tr>
      <w:tr w:rsidR="00B07A19" w:rsidRPr="00322507" w14:paraId="7DA49863" w14:textId="77777777" w:rsidTr="00BF30BB">
        <w:tc>
          <w:tcPr>
            <w:tcW w:w="2268" w:type="dxa"/>
            <w:shd w:val="clear" w:color="auto" w:fill="5B9BD5" w:themeFill="accent1"/>
          </w:tcPr>
          <w:p w14:paraId="0685F55D"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Forme de constitution</w:t>
            </w:r>
          </w:p>
        </w:tc>
        <w:tc>
          <w:tcPr>
            <w:tcW w:w="9214" w:type="dxa"/>
          </w:tcPr>
          <w:p w14:paraId="5C22A9CE"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Acte authentique ou acte sous seing privé.</w:t>
            </w:r>
          </w:p>
        </w:tc>
        <w:tc>
          <w:tcPr>
            <w:tcW w:w="10490" w:type="dxa"/>
          </w:tcPr>
          <w:p w14:paraId="38D92671"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Acte authentique ou acte sous seing privé.</w:t>
            </w:r>
          </w:p>
        </w:tc>
      </w:tr>
      <w:tr w:rsidR="00B07A19" w:rsidRPr="00322507" w14:paraId="7C06E1FF" w14:textId="77777777" w:rsidTr="00BF30BB">
        <w:tc>
          <w:tcPr>
            <w:tcW w:w="2268" w:type="dxa"/>
            <w:shd w:val="clear" w:color="auto" w:fill="5B9BD5" w:themeFill="accent1"/>
          </w:tcPr>
          <w:p w14:paraId="2E76F7EA" w14:textId="77777777" w:rsidR="00B07A19" w:rsidRPr="00B07A19" w:rsidRDefault="00B07A19" w:rsidP="00B079F7">
            <w:pPr>
              <w:spacing w:after="120"/>
              <w:jc w:val="left"/>
              <w:rPr>
                <w:rFonts w:cs="Arial"/>
                <w:b/>
                <w:color w:val="000000" w:themeColor="text1"/>
                <w:sz w:val="18"/>
                <w:szCs w:val="18"/>
                <w:lang w:val="fr-FR"/>
              </w:rPr>
            </w:pPr>
            <w:r w:rsidRPr="00B07A19">
              <w:rPr>
                <w:rFonts w:cs="Arial"/>
                <w:b/>
                <w:color w:val="000000" w:themeColor="text1"/>
                <w:sz w:val="18"/>
                <w:szCs w:val="18"/>
                <w:lang w:val="fr-FR"/>
              </w:rPr>
              <w:t>Aspect fiscal</w:t>
            </w:r>
          </w:p>
        </w:tc>
        <w:tc>
          <w:tcPr>
            <w:tcW w:w="9214" w:type="dxa"/>
          </w:tcPr>
          <w:p w14:paraId="25119FDB"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Société soumise à l’impôt sur le revenu des collectivités. Société fiscalement opaque.</w:t>
            </w:r>
          </w:p>
        </w:tc>
        <w:tc>
          <w:tcPr>
            <w:tcW w:w="10490" w:type="dxa"/>
          </w:tcPr>
          <w:p w14:paraId="302E51DA" w14:textId="77777777" w:rsidR="00B07A19" w:rsidRPr="00B07A19" w:rsidRDefault="00B07A19" w:rsidP="00B079F7">
            <w:pPr>
              <w:spacing w:after="120"/>
              <w:rPr>
                <w:rFonts w:cs="Arial"/>
                <w:color w:val="000000" w:themeColor="text1"/>
                <w:sz w:val="20"/>
                <w:szCs w:val="20"/>
                <w:lang w:val="fr-FR"/>
              </w:rPr>
            </w:pPr>
            <w:r w:rsidRPr="00B07A19">
              <w:rPr>
                <w:rFonts w:cs="Arial"/>
                <w:color w:val="000000" w:themeColor="text1"/>
                <w:sz w:val="20"/>
                <w:szCs w:val="20"/>
                <w:lang w:val="fr-FR"/>
              </w:rPr>
              <w:t>La société civile est considérée, sur le plan fiscal, comme une entité transparente. Les revenus sont taxés dans le chef de chaque associé.</w:t>
            </w:r>
          </w:p>
        </w:tc>
      </w:tr>
    </w:tbl>
    <w:p w14:paraId="7F995738" w14:textId="3F7B0962" w:rsidR="00FA1A7C" w:rsidRPr="004F144F" w:rsidRDefault="00FA1A7C" w:rsidP="00BF30BB">
      <w:pPr>
        <w:rPr>
          <w:lang w:val="fr-FR"/>
        </w:rPr>
      </w:pPr>
    </w:p>
    <w:sectPr w:rsidR="00FA1A7C" w:rsidRPr="004F144F" w:rsidSect="00B079F7">
      <w:footerReference w:type="default" r:id="rId13"/>
      <w:footerReference w:type="first" r:id="rId14"/>
      <w:pgSz w:w="23814" w:h="16839" w:orient="landscape" w:code="8"/>
      <w:pgMar w:top="1021" w:right="2552" w:bottom="1098" w:left="141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F5D2E" w14:textId="77777777" w:rsidR="00E2302C" w:rsidRDefault="00E2302C" w:rsidP="00FA1A7C">
      <w:pPr>
        <w:spacing w:before="0" w:after="0"/>
      </w:pPr>
      <w:r>
        <w:separator/>
      </w:r>
    </w:p>
  </w:endnote>
  <w:endnote w:type="continuationSeparator" w:id="0">
    <w:p w14:paraId="38053E27" w14:textId="77777777" w:rsidR="00E2302C" w:rsidRDefault="00E2302C" w:rsidP="00FA1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6F5" w14:textId="77777777" w:rsidR="0058288B" w:rsidRDefault="00D457CB">
    <w:pPr>
      <w:pStyle w:val="Pieddepage"/>
    </w:pPr>
    <w:r w:rsidRPr="00D10641">
      <w:rPr>
        <w:noProof/>
        <w:lang w:val="de-DE" w:eastAsia="de-DE"/>
      </w:rPr>
      <w:drawing>
        <wp:anchor distT="0" distB="0" distL="114300" distR="114300" simplePos="0" relativeHeight="251662336" behindDoc="0" locked="0" layoutInCell="1" allowOverlap="1" wp14:anchorId="14FFFE40" wp14:editId="3BC9A332">
          <wp:simplePos x="0" y="0"/>
          <wp:positionH relativeFrom="column">
            <wp:posOffset>-622935</wp:posOffset>
          </wp:positionH>
          <wp:positionV relativeFrom="paragraph">
            <wp:posOffset>-419100</wp:posOffset>
          </wp:positionV>
          <wp:extent cx="7564755" cy="1026160"/>
          <wp:effectExtent l="25400" t="0" r="4445" b="0"/>
          <wp:wrapTight wrapText="bothSides">
            <wp:wrapPolygon edited="0">
              <wp:start x="-73" y="0"/>
              <wp:lineTo x="-73" y="21386"/>
              <wp:lineTo x="21613" y="21386"/>
              <wp:lineTo x="21613" y="0"/>
              <wp:lineTo x="-73"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4755" cy="10261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B4A9" w14:textId="77777777" w:rsidR="004116C1" w:rsidRPr="00BF30BB" w:rsidRDefault="00D457CB" w:rsidP="00D208D4">
    <w:pPr>
      <w:pStyle w:val="Pieddepage"/>
      <w:rPr>
        <w:lang w:val="fr-LU"/>
      </w:rPr>
    </w:pPr>
    <w:proofErr w:type="spellStart"/>
    <w:r w:rsidRPr="00BF30BB">
      <w:rPr>
        <w:lang w:val="fr-LU"/>
      </w:rPr>
      <w:t>I</w:t>
    </w:r>
    <w:r w:rsidR="00FA1A7C" w:rsidRPr="00BF30BB">
      <w:rPr>
        <w:lang w:val="fr-LU"/>
      </w:rPr>
      <w:t>ntellectum</w:t>
    </w:r>
    <w:proofErr w:type="spellEnd"/>
    <w:r w:rsidR="00FA1A7C" w:rsidRPr="00BF30BB">
      <w:rPr>
        <w:lang w:val="fr-LU"/>
      </w:rPr>
      <w:t xml:space="preserve"> est </w:t>
    </w:r>
    <w:proofErr w:type="spellStart"/>
    <w:r w:rsidR="00FA1A7C" w:rsidRPr="00BF30BB">
      <w:rPr>
        <w:lang w:val="fr-LU"/>
      </w:rPr>
      <w:t>enim</w:t>
    </w:r>
    <w:proofErr w:type="spellEnd"/>
    <w:r w:rsidR="00FA1A7C" w:rsidRPr="00BF30BB">
      <w:rPr>
        <w:lang w:val="fr-LU"/>
      </w:rPr>
      <w:t xml:space="preserve"> </w:t>
    </w:r>
    <w:proofErr w:type="spellStart"/>
    <w:r w:rsidR="00FA1A7C" w:rsidRPr="00BF30BB">
      <w:rPr>
        <w:lang w:val="fr-LU"/>
      </w:rPr>
      <w:t>mihi</w:t>
    </w:r>
    <w:proofErr w:type="spellEnd"/>
    <w:r w:rsidR="00FA1A7C" w:rsidRPr="00BF30BB">
      <w:rPr>
        <w:lang w:val="fr-LU"/>
      </w:rPr>
      <w:t xml:space="preserve"> </w:t>
    </w:r>
    <w:proofErr w:type="spellStart"/>
    <w:r w:rsidR="00FA1A7C" w:rsidRPr="00BF30BB">
      <w:rPr>
        <w:lang w:val="fr-LU"/>
      </w:rPr>
      <w:t>quidem</w:t>
    </w:r>
    <w:proofErr w:type="spellEnd"/>
    <w:r w:rsidR="00FA1A7C" w:rsidRPr="00BF30BB">
      <w:rPr>
        <w:lang w:val="fr-LU"/>
      </w:rPr>
      <w:tab/>
    </w:r>
    <w:r w:rsidR="00D208D4" w:rsidRPr="00BF30BB">
      <w:rPr>
        <w:lang w:val="fr-LU"/>
      </w:rPr>
      <w:tab/>
    </w:r>
    <w:r w:rsidRPr="00BF30BB">
      <w:rPr>
        <w:lang w:val="fr-LU"/>
      </w:rPr>
      <w:t xml:space="preserve">page </w:t>
    </w:r>
    <w:r w:rsidRPr="00D14A01">
      <w:rPr>
        <w:rStyle w:val="Numrodepage"/>
      </w:rPr>
      <w:fldChar w:fldCharType="begin"/>
    </w:r>
    <w:r w:rsidRPr="00BF30BB">
      <w:rPr>
        <w:rStyle w:val="Numrodepage"/>
        <w:lang w:val="fr-LU"/>
      </w:rPr>
      <w:instrText xml:space="preserve"> PAGE </w:instrText>
    </w:r>
    <w:r w:rsidRPr="00D14A01">
      <w:rPr>
        <w:rStyle w:val="Numrodepage"/>
      </w:rPr>
      <w:fldChar w:fldCharType="separate"/>
    </w:r>
    <w:r w:rsidR="002E23C5" w:rsidRPr="00BF30BB">
      <w:rPr>
        <w:rStyle w:val="Numrodepage"/>
        <w:noProof/>
        <w:lang w:val="fr-LU"/>
      </w:rPr>
      <w:t>2</w:t>
    </w:r>
    <w:r w:rsidRPr="00D14A01">
      <w:rPr>
        <w:rStyle w:val="Numrodepage"/>
      </w:rPr>
      <w:fldChar w:fldCharType="end"/>
    </w:r>
    <w:r w:rsidRPr="00BF30BB">
      <w:rPr>
        <w:rStyle w:val="Numrodepage"/>
        <w:lang w:val="fr-LU"/>
      </w:rPr>
      <w:t>/</w:t>
    </w:r>
    <w:r w:rsidRPr="00D14A01">
      <w:rPr>
        <w:rStyle w:val="Numrodepage"/>
      </w:rPr>
      <w:fldChar w:fldCharType="begin"/>
    </w:r>
    <w:r w:rsidRPr="00BF30BB">
      <w:rPr>
        <w:rStyle w:val="Numrodepage"/>
        <w:lang w:val="fr-LU"/>
      </w:rPr>
      <w:instrText xml:space="preserve"> NUMPAGES </w:instrText>
    </w:r>
    <w:r w:rsidRPr="00D14A01">
      <w:rPr>
        <w:rStyle w:val="Numrodepage"/>
      </w:rPr>
      <w:fldChar w:fldCharType="separate"/>
    </w:r>
    <w:r w:rsidR="002E23C5" w:rsidRPr="00BF30BB">
      <w:rPr>
        <w:rStyle w:val="Numrodepage"/>
        <w:noProof/>
        <w:lang w:val="fr-LU"/>
      </w:rPr>
      <w:t>4</w:t>
    </w:r>
    <w:r w:rsidRPr="00D14A01">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50D" w14:textId="23686473" w:rsidR="004116C1" w:rsidRDefault="00BF30BB">
    <w:pPr>
      <w:pStyle w:val="Pieddepage"/>
    </w:pPr>
    <w:r>
      <w:rPr>
        <w:b/>
        <w:bCs/>
        <w:noProof/>
      </w:rPr>
      <mc:AlternateContent>
        <mc:Choice Requires="wps">
          <w:drawing>
            <wp:anchor distT="0" distB="0" distL="114300" distR="114300" simplePos="0" relativeHeight="251670528" behindDoc="0" locked="0" layoutInCell="1" allowOverlap="1" wp14:anchorId="7FD00A29" wp14:editId="47927CEF">
              <wp:simplePos x="0" y="0"/>
              <wp:positionH relativeFrom="column">
                <wp:posOffset>5018405</wp:posOffset>
              </wp:positionH>
              <wp:positionV relativeFrom="paragraph">
                <wp:posOffset>228562</wp:posOffset>
              </wp:positionV>
              <wp:extent cx="1678899" cy="32978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678899" cy="329784"/>
                      </a:xfrm>
                      <a:prstGeom prst="rect">
                        <a:avLst/>
                      </a:prstGeom>
                      <a:noFill/>
                      <a:ln w="6350">
                        <a:noFill/>
                      </a:ln>
                    </wps:spPr>
                    <wps:txbx>
                      <w:txbxContent>
                        <w:p w14:paraId="7E747E99" w14:textId="77777777" w:rsidR="00BF30BB" w:rsidRPr="00BF30BB" w:rsidRDefault="00BF30BB" w:rsidP="00BF30BB">
                          <w:pPr>
                            <w:jc w:val="center"/>
                            <w:rPr>
                              <w:b/>
                              <w:bCs/>
                              <w:color w:val="44546A" w:themeColor="text2"/>
                              <w:szCs w:val="32"/>
                            </w:rPr>
                          </w:pPr>
                          <w:r w:rsidRPr="00BF30BB">
                            <w:rPr>
                              <w:b/>
                              <w:bCs/>
                              <w:color w:val="44546A" w:themeColor="text2"/>
                              <w:szCs w:val="32"/>
                            </w:rPr>
                            <w:t>klima-agence.lu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FD00A29" id="_x0000_t202" coordsize="21600,21600" o:spt="202" path="m,l,21600r21600,l21600,xe">
              <v:stroke joinstyle="miter"/>
              <v:path gradientshapeok="t" o:connecttype="rect"/>
            </v:shapetype>
            <v:shape id="Zone de texte 7" o:spid="_x0000_s1026" type="#_x0000_t202" style="position:absolute;left:0;text-align:left;margin-left:395.15pt;margin-top:18pt;width:132.2pt;height:25.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" filled="f" stroked="f" strokeweight=".5pt">
              <v:textbox>
                <w:txbxContent>
                  <w:p w14:paraId="7E747E99" w14:textId="77777777" w:rsidR="00BF30BB" w:rsidRPr="00BF30BB" w:rsidRDefault="00BF30BB" w:rsidP="00BF30BB">
                    <w:pPr>
                      <w:jc w:val="center"/>
                      <w:rPr>
                        <w:b/>
                        <w:bCs/>
                        <w:color w:val="44546A" w:themeColor="text2"/>
                        <w:szCs w:val="32"/>
                      </w:rPr>
                    </w:pPr>
                    <w:r w:rsidRPr="00BF30BB">
                      <w:rPr>
                        <w:b/>
                        <w:bCs/>
                        <w:color w:val="44546A" w:themeColor="text2"/>
                        <w:szCs w:val="32"/>
                      </w:rPr>
                      <w:t>klima-agence.lu</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0E1D" w14:textId="0D079306" w:rsidR="00D208D4" w:rsidRPr="00B07A19" w:rsidRDefault="00D208D4" w:rsidP="00B07A19">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714" w14:textId="77777777" w:rsidR="004F144F" w:rsidRDefault="004F144F">
    <w:pPr>
      <w:pStyle w:val="Pieddepage"/>
    </w:pPr>
    <w:r w:rsidRPr="00332CE9">
      <w:rPr>
        <w:noProof/>
        <w:lang w:val="de-DE" w:eastAsia="de-DE"/>
      </w:rPr>
      <w:drawing>
        <wp:anchor distT="0" distB="0" distL="114300" distR="114300" simplePos="0" relativeHeight="251666432" behindDoc="1" locked="0" layoutInCell="1" allowOverlap="1" wp14:anchorId="46ED95A9" wp14:editId="23935EA5">
          <wp:simplePos x="0" y="0"/>
          <wp:positionH relativeFrom="column">
            <wp:posOffset>3337120</wp:posOffset>
          </wp:positionH>
          <wp:positionV relativeFrom="paragraph">
            <wp:posOffset>-8331200</wp:posOffset>
          </wp:positionV>
          <wp:extent cx="3491523" cy="8890782"/>
          <wp:effectExtent l="25400" t="0" r="0" b="0"/>
          <wp:wrapNone/>
          <wp:docPr id="13" name="Image 2" descr="1-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riangle.jpg"/>
                  <pic:cNvPicPr/>
                </pic:nvPicPr>
                <pic:blipFill>
                  <a:blip r:embed="rId1"/>
                  <a:stretch>
                    <a:fillRect/>
                  </a:stretch>
                </pic:blipFill>
                <pic:spPr>
                  <a:xfrm>
                    <a:off x="0" y="0"/>
                    <a:ext cx="3491523" cy="889078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6010" w14:textId="77777777" w:rsidR="00E2302C" w:rsidRDefault="00E2302C" w:rsidP="00FA1A7C">
      <w:pPr>
        <w:spacing w:before="0" w:after="0"/>
      </w:pPr>
      <w:r>
        <w:separator/>
      </w:r>
    </w:p>
  </w:footnote>
  <w:footnote w:type="continuationSeparator" w:id="0">
    <w:p w14:paraId="440FE888" w14:textId="77777777" w:rsidR="00E2302C" w:rsidRDefault="00E2302C" w:rsidP="00FA1A7C">
      <w:pPr>
        <w:spacing w:before="0" w:after="0"/>
      </w:pPr>
      <w:r>
        <w:continuationSeparator/>
      </w:r>
    </w:p>
  </w:footnote>
  <w:footnote w:id="1">
    <w:p w14:paraId="2F18F09E" w14:textId="77777777" w:rsidR="00B07A19" w:rsidRPr="001B5FB8" w:rsidRDefault="00B07A19" w:rsidP="00B07A19">
      <w:pPr>
        <w:pStyle w:val="Notedebasdepage"/>
        <w:ind w:left="709" w:hanging="709"/>
        <w:jc w:val="both"/>
        <w:rPr>
          <w:rFonts w:ascii="Arial" w:hAnsi="Arial" w:cs="Arial"/>
          <w:sz w:val="18"/>
          <w:szCs w:val="18"/>
        </w:rPr>
      </w:pPr>
      <w:r w:rsidRPr="001B5FB8">
        <w:rPr>
          <w:rStyle w:val="Appelnotedebasdep"/>
          <w:rFonts w:cs="Arial"/>
          <w:sz w:val="18"/>
          <w:szCs w:val="18"/>
        </w:rPr>
        <w:footnoteRef/>
      </w:r>
      <w:r w:rsidRPr="001B5FB8">
        <w:rPr>
          <w:rFonts w:ascii="Arial" w:hAnsi="Arial" w:cs="Arial"/>
          <w:sz w:val="18"/>
          <w:szCs w:val="18"/>
        </w:rPr>
        <w:t xml:space="preserve"> </w:t>
      </w:r>
      <w:r w:rsidRPr="001B5FB8">
        <w:rPr>
          <w:rFonts w:ascii="Arial" w:hAnsi="Arial" w:cs="Arial"/>
          <w:sz w:val="18"/>
          <w:szCs w:val="18"/>
        </w:rPr>
        <w:tab/>
        <w:t xml:space="preserve">Modifié par </w:t>
      </w:r>
      <w:r w:rsidRPr="001B5FB8">
        <w:rPr>
          <w:rFonts w:ascii="Arial" w:hAnsi="Arial" w:cs="Arial"/>
          <w:color w:val="000000" w:themeColor="text1"/>
          <w:sz w:val="18"/>
          <w:szCs w:val="18"/>
        </w:rPr>
        <w:t>règlement grand-ducal du 23 juillet 2016 et règlement grand-ducal du 24 avril 2017.</w:t>
      </w:r>
    </w:p>
  </w:footnote>
  <w:footnote w:id="2">
    <w:p w14:paraId="6AD3B656" w14:textId="77777777" w:rsidR="00B07A19" w:rsidRPr="001B5FB8" w:rsidRDefault="00B07A19" w:rsidP="00B07A19">
      <w:pPr>
        <w:pStyle w:val="Notedebasdepage"/>
        <w:ind w:left="709" w:hanging="709"/>
        <w:jc w:val="both"/>
        <w:rPr>
          <w:rFonts w:ascii="Arial" w:hAnsi="Arial" w:cs="Arial"/>
          <w:sz w:val="18"/>
          <w:szCs w:val="18"/>
          <w:lang w:val="fr-FR"/>
        </w:rPr>
      </w:pPr>
      <w:r w:rsidRPr="001B5FB8">
        <w:rPr>
          <w:rStyle w:val="Appelnotedebasdep"/>
          <w:rFonts w:cs="Arial"/>
          <w:sz w:val="18"/>
          <w:szCs w:val="18"/>
        </w:rPr>
        <w:footnoteRef/>
      </w:r>
      <w:r w:rsidRPr="001B5FB8">
        <w:rPr>
          <w:rFonts w:ascii="Arial" w:hAnsi="Arial" w:cs="Arial"/>
          <w:sz w:val="18"/>
          <w:szCs w:val="18"/>
        </w:rPr>
        <w:t xml:space="preserve"> </w:t>
      </w:r>
      <w:r w:rsidRPr="001B5FB8">
        <w:rPr>
          <w:rFonts w:ascii="Arial" w:hAnsi="Arial" w:cs="Arial"/>
          <w:sz w:val="18"/>
          <w:szCs w:val="18"/>
          <w:lang w:val="fr-FR"/>
        </w:rPr>
        <w:tab/>
        <w:t>Le présent tableau se limite à mettre en évidence de façon simplifiée et synoptique les différences entre société coopérative et société civile. D’autres différences existent. Le présent tableau ne dispense pas d’une analyse détaillée au cas par cas.</w:t>
      </w:r>
    </w:p>
  </w:footnote>
  <w:footnote w:id="3">
    <w:p w14:paraId="5706F262" w14:textId="77777777" w:rsidR="00B07A19" w:rsidRPr="001B5FB8" w:rsidRDefault="00B07A19" w:rsidP="00B07A19">
      <w:pPr>
        <w:pStyle w:val="Notedebasdepage"/>
        <w:rPr>
          <w:rFonts w:ascii="Arial" w:hAnsi="Arial" w:cs="Arial"/>
          <w:sz w:val="18"/>
          <w:szCs w:val="18"/>
          <w:lang w:val="fr-FR"/>
        </w:rPr>
      </w:pPr>
      <w:r w:rsidRPr="001B5FB8">
        <w:rPr>
          <w:rStyle w:val="Appelnotedebasdep"/>
          <w:rFonts w:cs="Arial"/>
          <w:sz w:val="18"/>
          <w:szCs w:val="18"/>
        </w:rPr>
        <w:footnoteRef/>
      </w:r>
      <w:r w:rsidRPr="001B5FB8">
        <w:rPr>
          <w:rFonts w:ascii="Arial" w:hAnsi="Arial" w:cs="Arial"/>
          <w:sz w:val="18"/>
          <w:szCs w:val="18"/>
        </w:rPr>
        <w:t xml:space="preserve"> </w:t>
      </w:r>
      <w:r w:rsidRPr="001B5FB8">
        <w:rPr>
          <w:rFonts w:ascii="Arial" w:hAnsi="Arial" w:cs="Arial"/>
          <w:sz w:val="18"/>
          <w:szCs w:val="18"/>
          <w:lang w:val="fr-FR"/>
        </w:rPr>
        <w:tab/>
        <w:t>Loi modifiée du 10 août 1915 sur les sociétés commerciales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320C" w14:textId="77777777" w:rsidR="0058288B" w:rsidRDefault="00D457CB">
    <w:pPr>
      <w:pStyle w:val="En-tte"/>
    </w:pPr>
    <w:r w:rsidRPr="006C7989">
      <w:rPr>
        <w:noProof/>
        <w:lang w:val="de-DE" w:eastAsia="de-DE"/>
      </w:rPr>
      <w:drawing>
        <wp:anchor distT="0" distB="0" distL="114300" distR="114300" simplePos="0" relativeHeight="251663360" behindDoc="1" locked="0" layoutInCell="1" allowOverlap="1" wp14:anchorId="225DB9B9" wp14:editId="00AAB000">
          <wp:simplePos x="0" y="0"/>
          <wp:positionH relativeFrom="column">
            <wp:posOffset>-685800</wp:posOffset>
          </wp:positionH>
          <wp:positionV relativeFrom="paragraph">
            <wp:posOffset>-1600200</wp:posOffset>
          </wp:positionV>
          <wp:extent cx="1651000" cy="1798320"/>
          <wp:effectExtent l="0" t="0" r="0" b="5080"/>
          <wp:wrapNone/>
          <wp:docPr id="4" name="Image 0" descr="2+3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_logo(1).jpg"/>
                  <pic:cNvPicPr/>
                </pic:nvPicPr>
                <pic:blipFill>
                  <a:blip r:embed="rId1"/>
                  <a:stretch>
                    <a:fillRect/>
                  </a:stretch>
                </pic:blipFill>
                <pic:spPr>
                  <a:xfrm>
                    <a:off x="0" y="0"/>
                    <a:ext cx="1651000" cy="17983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A5F7" w14:textId="0822356E" w:rsidR="004116C1" w:rsidRDefault="00BF30BB" w:rsidP="00582A63">
    <w:pPr>
      <w:pStyle w:val="En-tte"/>
    </w:pPr>
    <w:r>
      <w:rPr>
        <w:noProof/>
      </w:rPr>
      <w:drawing>
        <wp:anchor distT="0" distB="0" distL="114300" distR="114300" simplePos="0" relativeHeight="251668480" behindDoc="1" locked="0" layoutInCell="1" allowOverlap="1" wp14:anchorId="5DE57AFB" wp14:editId="17D16475">
          <wp:simplePos x="0" y="0"/>
          <wp:positionH relativeFrom="column">
            <wp:posOffset>-659765</wp:posOffset>
          </wp:positionH>
          <wp:positionV relativeFrom="paragraph">
            <wp:posOffset>-1620048</wp:posOffset>
          </wp:positionV>
          <wp:extent cx="7559303" cy="10684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59303"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222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36CB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54C7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98F0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BEA2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BC809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1B2FE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DED6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92EE4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3CED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86CE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A3132"/>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5AA67F2"/>
    <w:multiLevelType w:val="multilevel"/>
    <w:tmpl w:val="4A88B12A"/>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3.%2"/>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17F4B0C"/>
    <w:multiLevelType w:val="multilevel"/>
    <w:tmpl w:val="7A9C2D64"/>
    <w:lvl w:ilvl="0">
      <w:start w:val="1"/>
      <w:numFmt w:val="decimal"/>
      <w:pStyle w:val="Titre1"/>
      <w:lvlText w:val="%1."/>
      <w:lvlJc w:val="left"/>
      <w:pPr>
        <w:ind w:left="360" w:hanging="360"/>
      </w:pPr>
      <w:rPr>
        <w:rFonts w:hint="default"/>
      </w:rPr>
    </w:lvl>
    <w:lvl w:ilvl="1">
      <w:start w:val="1"/>
      <w:numFmt w:val="decimal"/>
      <w:lvlText w:val="%1.%2."/>
      <w:lvlJc w:val="left"/>
      <w:pPr>
        <w:ind w:left="792" w:hanging="1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820852"/>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pStyle w:val="Titre2"/>
      <w:lvlText w:val="%2."/>
      <w:lvlJc w:val="left"/>
      <w:pPr>
        <w:ind w:left="720" w:hanging="720"/>
      </w:pPr>
      <w:rPr>
        <w:rFonts w:ascii="Arial" w:hAnsi="Arial" w:hint="default"/>
        <w:b/>
        <w:i w:val="0"/>
        <w:color w:val="000000" w:themeColor="text1"/>
        <w:sz w:val="22"/>
      </w:rPr>
    </w:lvl>
    <w:lvl w:ilvl="2">
      <w:start w:val="1"/>
      <w:numFmt w:val="decimal"/>
      <w:pStyle w:val="Titre3"/>
      <w:lvlText w:val="%2.%3."/>
      <w:lvlJc w:val="left"/>
      <w:pPr>
        <w:ind w:left="1440" w:hanging="1440"/>
      </w:pPr>
      <w:rPr>
        <w:rFonts w:ascii="Arial" w:hAnsi="Arial" w:hint="default"/>
        <w:b w:val="0"/>
        <w:i w:val="0"/>
        <w:color w:val="000000" w:themeColor="text1"/>
        <w:sz w:val="22"/>
      </w:rPr>
    </w:lvl>
    <w:lvl w:ilvl="3">
      <w:start w:val="1"/>
      <w:numFmt w:val="lowerLetter"/>
      <w:pStyle w:val="Titre4"/>
      <w:lvlText w:val="%4)"/>
      <w:lvlJc w:val="left"/>
      <w:pPr>
        <w:ind w:left="2160" w:hanging="1026"/>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15" w15:restartNumberingAfterBreak="0">
    <w:nsid w:val="2D3A4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B749EB"/>
    <w:multiLevelType w:val="multilevel"/>
    <w:tmpl w:val="3954C2C4"/>
    <w:styleLink w:val="myenergy"/>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720" w:hanging="72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B6B25AD"/>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4832894"/>
    <w:multiLevelType w:val="multilevel"/>
    <w:tmpl w:val="0409001F"/>
    <w:numStyleLink w:val="111111"/>
  </w:abstractNum>
  <w:abstractNum w:abstractNumId="19" w15:restartNumberingAfterBreak="0">
    <w:nsid w:val="48651008"/>
    <w:multiLevelType w:val="multilevel"/>
    <w:tmpl w:val="0409001F"/>
    <w:numStyleLink w:val="111111"/>
  </w:abstractNum>
  <w:abstractNum w:abstractNumId="20" w15:restartNumberingAfterBreak="0">
    <w:nsid w:val="4AD2219B"/>
    <w:multiLevelType w:val="multilevel"/>
    <w:tmpl w:val="F460A3EC"/>
    <w:lvl w:ilvl="0">
      <w:start w:val="1"/>
      <w:numFmt w:val="decimal"/>
      <w:lvlText w:val="%1o"/>
      <w:lvlJc w:val="left"/>
      <w:pPr>
        <w:ind w:left="560" w:hanging="560"/>
      </w:pPr>
      <w:rPr>
        <w:rFonts w:hint="default"/>
      </w:rPr>
    </w:lvl>
    <w:lvl w:ilvl="1">
      <w:start w:val="1"/>
      <w:numFmt w:val="decimal"/>
      <w:lvlText w:val="%1o%2."/>
      <w:lvlJc w:val="left"/>
      <w:pPr>
        <w:ind w:left="1074" w:hanging="720"/>
      </w:pPr>
      <w:rPr>
        <w:rFonts w:hint="default"/>
      </w:rPr>
    </w:lvl>
    <w:lvl w:ilvl="2">
      <w:start w:val="1"/>
      <w:numFmt w:val="decimal"/>
      <w:lvlText w:val="%1o%2.%3."/>
      <w:lvlJc w:val="left"/>
      <w:pPr>
        <w:ind w:left="1428" w:hanging="720"/>
      </w:pPr>
      <w:rPr>
        <w:rFonts w:hint="default"/>
      </w:rPr>
    </w:lvl>
    <w:lvl w:ilvl="3">
      <w:start w:val="1"/>
      <w:numFmt w:val="decimal"/>
      <w:lvlText w:val="%1o%2.%3.%4."/>
      <w:lvlJc w:val="left"/>
      <w:pPr>
        <w:ind w:left="2142" w:hanging="1080"/>
      </w:pPr>
      <w:rPr>
        <w:rFonts w:hint="default"/>
      </w:rPr>
    </w:lvl>
    <w:lvl w:ilvl="4">
      <w:start w:val="1"/>
      <w:numFmt w:val="decimal"/>
      <w:lvlText w:val="%1o%2.%3.%4.%5."/>
      <w:lvlJc w:val="left"/>
      <w:pPr>
        <w:ind w:left="2496" w:hanging="1080"/>
      </w:pPr>
      <w:rPr>
        <w:rFonts w:hint="default"/>
      </w:rPr>
    </w:lvl>
    <w:lvl w:ilvl="5">
      <w:start w:val="1"/>
      <w:numFmt w:val="decimal"/>
      <w:lvlText w:val="%1o%2.%3.%4.%5.%6."/>
      <w:lvlJc w:val="left"/>
      <w:pPr>
        <w:ind w:left="3210" w:hanging="1440"/>
      </w:pPr>
      <w:rPr>
        <w:rFonts w:hint="default"/>
      </w:rPr>
    </w:lvl>
    <w:lvl w:ilvl="6">
      <w:start w:val="1"/>
      <w:numFmt w:val="decimal"/>
      <w:lvlText w:val="%1o%2.%3.%4.%5.%6.%7."/>
      <w:lvlJc w:val="left"/>
      <w:pPr>
        <w:ind w:left="3564" w:hanging="1440"/>
      </w:pPr>
      <w:rPr>
        <w:rFonts w:hint="default"/>
      </w:rPr>
    </w:lvl>
    <w:lvl w:ilvl="7">
      <w:start w:val="1"/>
      <w:numFmt w:val="decimal"/>
      <w:lvlText w:val="%1o%2.%3.%4.%5.%6.%7.%8."/>
      <w:lvlJc w:val="left"/>
      <w:pPr>
        <w:ind w:left="4278" w:hanging="1800"/>
      </w:pPr>
      <w:rPr>
        <w:rFonts w:hint="default"/>
      </w:rPr>
    </w:lvl>
    <w:lvl w:ilvl="8">
      <w:start w:val="1"/>
      <w:numFmt w:val="decimal"/>
      <w:lvlText w:val="%1o%2.%3.%4.%5.%6.%7.%8.%9."/>
      <w:lvlJc w:val="left"/>
      <w:pPr>
        <w:ind w:left="4632" w:hanging="1800"/>
      </w:pPr>
      <w:rPr>
        <w:rFonts w:hint="default"/>
      </w:rPr>
    </w:lvl>
  </w:abstractNum>
  <w:abstractNum w:abstractNumId="21" w15:restartNumberingAfterBreak="0">
    <w:nsid w:val="4ECC3ECD"/>
    <w:multiLevelType w:val="hybridMultilevel"/>
    <w:tmpl w:val="30802CFA"/>
    <w:lvl w:ilvl="0" w:tplc="0BDE98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D6E2C"/>
    <w:multiLevelType w:val="hybridMultilevel"/>
    <w:tmpl w:val="103C46D4"/>
    <w:lvl w:ilvl="0" w:tplc="E0CC8C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848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0A7204"/>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05D0FE9"/>
    <w:multiLevelType w:val="multilevel"/>
    <w:tmpl w:val="0409001F"/>
    <w:numStyleLink w:val="111111"/>
  </w:abstractNum>
  <w:abstractNum w:abstractNumId="26" w15:restartNumberingAfterBreak="0">
    <w:nsid w:val="61F9545F"/>
    <w:multiLevelType w:val="multilevel"/>
    <w:tmpl w:val="0409001F"/>
    <w:numStyleLink w:val="111111"/>
  </w:abstractNum>
  <w:abstractNum w:abstractNumId="27" w15:restartNumberingAfterBreak="0">
    <w:nsid w:val="62C725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32D30"/>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6B015A09"/>
    <w:multiLevelType w:val="multilevel"/>
    <w:tmpl w:val="0409001F"/>
    <w:numStyleLink w:val="111111"/>
  </w:abstractNum>
  <w:abstractNum w:abstractNumId="30" w15:restartNumberingAfterBreak="0">
    <w:nsid w:val="700828D8"/>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744D79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2428CB"/>
    <w:multiLevelType w:val="multilevel"/>
    <w:tmpl w:val="A0F8D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254D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7C6DD3"/>
    <w:multiLevelType w:val="multilevel"/>
    <w:tmpl w:val="F2F6895C"/>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3.%2"/>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762531113">
    <w:abstractNumId w:val="33"/>
  </w:num>
  <w:num w:numId="2" w16cid:durableId="1084649009">
    <w:abstractNumId w:val="12"/>
  </w:num>
  <w:num w:numId="3" w16cid:durableId="1874885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6706847">
    <w:abstractNumId w:val="34"/>
  </w:num>
  <w:num w:numId="5" w16cid:durableId="1885407321">
    <w:abstractNumId w:val="14"/>
  </w:num>
  <w:num w:numId="6" w16cid:durableId="1791167552">
    <w:abstractNumId w:val="14"/>
    <w:lvlOverride w:ilvl="0">
      <w:lvl w:ilvl="0">
        <w:start w:val="1"/>
        <w:numFmt w:val="upperLetter"/>
        <w:lvlText w:val="%1."/>
        <w:lvlJc w:val="left"/>
        <w:pPr>
          <w:ind w:left="0" w:firstLine="0"/>
        </w:pPr>
        <w:rPr>
          <w:rFonts w:ascii="Arial" w:hAnsi="Arial" w:hint="default"/>
          <w:b/>
          <w:i w:val="0"/>
          <w:color w:val="000000" w:themeColor="text1"/>
          <w:sz w:val="24"/>
        </w:rPr>
      </w:lvl>
    </w:lvlOverride>
    <w:lvlOverride w:ilv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lvl w:ilvl="2">
        <w:start w:val="1"/>
        <w:numFmt w:val="decimal"/>
        <w:pStyle w:val="Titre3"/>
        <w:lvlText w:val="%2.%3."/>
        <w:lvlJc w:val="left"/>
        <w:pPr>
          <w:ind w:left="1440" w:hanging="1440"/>
        </w:pPr>
        <w:rPr>
          <w:rFonts w:ascii="Arial" w:hAnsi="Arial" w:hint="default"/>
          <w:b w:val="0"/>
          <w:i w:val="0"/>
          <w:color w:val="000000" w:themeColor="text1"/>
          <w:sz w:val="22"/>
        </w:rPr>
      </w:lvl>
    </w:lvlOverride>
    <w:lvlOverride w:ilvl="3">
      <w:lvl w:ilvl="3">
        <w:start w:val="1"/>
        <w:numFmt w:val="lowerLetter"/>
        <w:pStyle w:val="Titre4"/>
        <w:lvlText w:val="%4)"/>
        <w:lvlJc w:val="left"/>
        <w:pPr>
          <w:ind w:left="2160" w:hanging="1026"/>
        </w:pPr>
        <w:rPr>
          <w:rFonts w:hint="default"/>
        </w:rPr>
      </w:lvl>
    </w:lvlOverride>
    <w:lvlOverride w:ilvl="4">
      <w:lvl w:ilvl="4">
        <w:start w:val="1"/>
        <w:numFmt w:val="decimal"/>
        <w:pStyle w:val="Titre5"/>
        <w:lvlText w:val="(%5)"/>
        <w:lvlJc w:val="left"/>
        <w:pPr>
          <w:ind w:left="2880" w:firstLine="0"/>
        </w:pPr>
        <w:rPr>
          <w:rFonts w:hint="default"/>
        </w:rPr>
      </w:lvl>
    </w:lvlOverride>
    <w:lvlOverride w:ilvl="5">
      <w:lvl w:ilvl="5">
        <w:start w:val="1"/>
        <w:numFmt w:val="lowerLetter"/>
        <w:pStyle w:val="Titre6"/>
        <w:lvlText w:val="(%6)"/>
        <w:lvlJc w:val="left"/>
        <w:pPr>
          <w:ind w:left="3600" w:firstLine="0"/>
        </w:pPr>
        <w:rPr>
          <w:rFonts w:hint="default"/>
        </w:rPr>
      </w:lvl>
    </w:lvlOverride>
    <w:lvlOverride w:ilvl="6">
      <w:lvl w:ilvl="6">
        <w:start w:val="1"/>
        <w:numFmt w:val="lowerRoman"/>
        <w:pStyle w:val="Titre7"/>
        <w:lvlText w:val="(%7)"/>
        <w:lvlJc w:val="left"/>
        <w:pPr>
          <w:ind w:left="4320" w:firstLine="0"/>
        </w:pPr>
        <w:rPr>
          <w:rFonts w:hint="default"/>
        </w:rPr>
      </w:lvl>
    </w:lvlOverride>
    <w:lvlOverride w:ilvl="7">
      <w:lvl w:ilvl="7">
        <w:start w:val="1"/>
        <w:numFmt w:val="lowerLetter"/>
        <w:pStyle w:val="Titre8"/>
        <w:lvlText w:val="(%8)"/>
        <w:lvlJc w:val="left"/>
        <w:pPr>
          <w:ind w:left="5040" w:firstLine="0"/>
        </w:pPr>
        <w:rPr>
          <w:rFonts w:hint="default"/>
        </w:rPr>
      </w:lvl>
    </w:lvlOverride>
    <w:lvlOverride w:ilvl="8">
      <w:lvl w:ilvl="8">
        <w:start w:val="1"/>
        <w:numFmt w:val="lowerRoman"/>
        <w:pStyle w:val="Titre9"/>
        <w:lvlText w:val="(%9)"/>
        <w:lvlJc w:val="left"/>
        <w:pPr>
          <w:ind w:left="5760" w:firstLine="0"/>
        </w:pPr>
        <w:rPr>
          <w:rFonts w:hint="default"/>
        </w:rPr>
      </w:lvl>
    </w:lvlOverride>
  </w:num>
  <w:num w:numId="7" w16cid:durableId="47924862">
    <w:abstractNumId w:val="14"/>
    <w:lvlOverride w:ilvl="0">
      <w:lvl w:ilvl="0">
        <w:start w:val="1"/>
        <w:numFmt w:val="decimal"/>
        <w:lvlText w:val="%1."/>
        <w:lvlJc w:val="left"/>
        <w:pPr>
          <w:ind w:left="-851" w:hanging="360"/>
        </w:pPr>
        <w:rPr>
          <w:rFonts w:hint="default"/>
        </w:rPr>
      </w:lvl>
    </w:lvlOverride>
    <w:lvlOverride w:ilvl="1">
      <w:lvl w:ilvl="1">
        <w:start w:val="1"/>
        <w:numFmt w:val="decimal"/>
        <w:pStyle w:val="Titre2"/>
        <w:lvlText w:val="%1.%2."/>
        <w:lvlJc w:val="left"/>
        <w:pPr>
          <w:ind w:left="-419" w:firstLine="759"/>
        </w:pPr>
        <w:rPr>
          <w:rFonts w:hint="default"/>
        </w:rPr>
      </w:lvl>
    </w:lvlOverride>
    <w:lvlOverride w:ilvl="2">
      <w:lvl w:ilvl="2">
        <w:start w:val="1"/>
        <w:numFmt w:val="decimal"/>
        <w:pStyle w:val="Titre3"/>
        <w:lvlText w:val="%1.%2.%3."/>
        <w:lvlJc w:val="left"/>
        <w:pPr>
          <w:ind w:left="13" w:hanging="504"/>
        </w:pPr>
        <w:rPr>
          <w:rFonts w:hint="default"/>
        </w:rPr>
      </w:lvl>
    </w:lvlOverride>
    <w:lvlOverride w:ilvl="3">
      <w:lvl w:ilvl="3">
        <w:start w:val="1"/>
        <w:numFmt w:val="decimal"/>
        <w:pStyle w:val="Titre4"/>
        <w:lvlText w:val="%1.%2.%3.%4."/>
        <w:lvlJc w:val="left"/>
        <w:pPr>
          <w:ind w:left="517" w:hanging="648"/>
        </w:pPr>
        <w:rPr>
          <w:rFonts w:hint="default"/>
        </w:rPr>
      </w:lvl>
    </w:lvlOverride>
    <w:lvlOverride w:ilvl="4">
      <w:lvl w:ilvl="4">
        <w:start w:val="1"/>
        <w:numFmt w:val="decimal"/>
        <w:pStyle w:val="Titre5"/>
        <w:lvlText w:val="%1.%2.%3.%4.%5."/>
        <w:lvlJc w:val="left"/>
        <w:pPr>
          <w:ind w:left="1021" w:hanging="792"/>
        </w:pPr>
        <w:rPr>
          <w:rFonts w:hint="default"/>
        </w:rPr>
      </w:lvl>
    </w:lvlOverride>
    <w:lvlOverride w:ilvl="5">
      <w:lvl w:ilvl="5">
        <w:start w:val="1"/>
        <w:numFmt w:val="decimal"/>
        <w:pStyle w:val="Titre6"/>
        <w:lvlText w:val="%1.%2.%3.%4.%5.%6."/>
        <w:lvlJc w:val="left"/>
        <w:pPr>
          <w:ind w:left="1525" w:hanging="936"/>
        </w:pPr>
        <w:rPr>
          <w:rFonts w:hint="default"/>
        </w:rPr>
      </w:lvl>
    </w:lvlOverride>
    <w:lvlOverride w:ilvl="6">
      <w:lvl w:ilvl="6">
        <w:start w:val="1"/>
        <w:numFmt w:val="decimal"/>
        <w:pStyle w:val="Titre7"/>
        <w:lvlText w:val="%1.%2.%3.%4.%5.%6.%7."/>
        <w:lvlJc w:val="left"/>
        <w:pPr>
          <w:ind w:left="2029" w:hanging="1080"/>
        </w:pPr>
        <w:rPr>
          <w:rFonts w:hint="default"/>
        </w:rPr>
      </w:lvl>
    </w:lvlOverride>
    <w:lvlOverride w:ilvl="7">
      <w:lvl w:ilvl="7">
        <w:start w:val="1"/>
        <w:numFmt w:val="decimal"/>
        <w:pStyle w:val="Titre8"/>
        <w:lvlText w:val="%1.%2.%3.%4.%5.%6.%7.%8."/>
        <w:lvlJc w:val="left"/>
        <w:pPr>
          <w:ind w:left="2533" w:hanging="1224"/>
        </w:pPr>
        <w:rPr>
          <w:rFonts w:hint="default"/>
        </w:rPr>
      </w:lvl>
    </w:lvlOverride>
    <w:lvlOverride w:ilvl="8">
      <w:lvl w:ilvl="8">
        <w:start w:val="1"/>
        <w:numFmt w:val="decimal"/>
        <w:pStyle w:val="Titre9"/>
        <w:lvlText w:val="%1.%2.%3.%4.%5.%6.%7.%8.%9."/>
        <w:lvlJc w:val="left"/>
        <w:pPr>
          <w:ind w:left="3109" w:hanging="1440"/>
        </w:pPr>
        <w:rPr>
          <w:rFonts w:hint="default"/>
        </w:rPr>
      </w:lvl>
    </w:lvlOverride>
  </w:num>
  <w:num w:numId="8" w16cid:durableId="1149129611">
    <w:abstractNumId w:val="14"/>
    <w:lvlOverride w:ilvl="0">
      <w:lvl w:ilvl="0">
        <w:start w:val="1"/>
        <w:numFmt w:val="upperLetter"/>
        <w:lvlText w:val="%1."/>
        <w:lvlJc w:val="left"/>
        <w:pPr>
          <w:ind w:left="0" w:firstLine="0"/>
        </w:pPr>
        <w:rPr>
          <w:rFonts w:ascii="Arial" w:hAnsi="Arial" w:hint="default"/>
          <w:b/>
          <w:i w:val="0"/>
          <w:color w:val="000000" w:themeColor="text1"/>
          <w:sz w:val="24"/>
        </w:rPr>
      </w:lvl>
    </w:lvlOverride>
    <w:lvlOverride w:ilv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lvl w:ilvl="2">
        <w:start w:val="1"/>
        <w:numFmt w:val="decimal"/>
        <w:pStyle w:val="Titre3"/>
        <w:lvlText w:val="%2.%3."/>
        <w:lvlJc w:val="left"/>
        <w:pPr>
          <w:ind w:left="720" w:hanging="11"/>
        </w:pPr>
        <w:rPr>
          <w:rFonts w:ascii="Arial" w:hAnsi="Arial" w:hint="default"/>
          <w:b w:val="0"/>
          <w:i w:val="0"/>
          <w:color w:val="000000" w:themeColor="text1"/>
          <w:sz w:val="22"/>
        </w:rPr>
      </w:lvl>
    </w:lvlOverride>
    <w:lvlOverride w:ilvl="3">
      <w:lvl w:ilvl="3">
        <w:start w:val="1"/>
        <w:numFmt w:val="lowerLetter"/>
        <w:pStyle w:val="Titre4"/>
        <w:lvlText w:val="%4)"/>
        <w:lvlJc w:val="left"/>
        <w:pPr>
          <w:ind w:left="2160" w:hanging="1026"/>
        </w:pPr>
        <w:rPr>
          <w:rFonts w:hint="default"/>
        </w:rPr>
      </w:lvl>
    </w:lvlOverride>
    <w:lvlOverride w:ilvl="4">
      <w:lvl w:ilvl="4">
        <w:start w:val="1"/>
        <w:numFmt w:val="decimal"/>
        <w:pStyle w:val="Titre5"/>
        <w:lvlText w:val="(%5)"/>
        <w:lvlJc w:val="left"/>
        <w:pPr>
          <w:ind w:left="2880" w:firstLine="0"/>
        </w:pPr>
        <w:rPr>
          <w:rFonts w:hint="default"/>
        </w:rPr>
      </w:lvl>
    </w:lvlOverride>
    <w:lvlOverride w:ilvl="5">
      <w:lvl w:ilvl="5">
        <w:start w:val="1"/>
        <w:numFmt w:val="lowerLetter"/>
        <w:pStyle w:val="Titre6"/>
        <w:lvlText w:val="(%6)"/>
        <w:lvlJc w:val="left"/>
        <w:pPr>
          <w:ind w:left="3600" w:firstLine="0"/>
        </w:pPr>
        <w:rPr>
          <w:rFonts w:hint="default"/>
        </w:rPr>
      </w:lvl>
    </w:lvlOverride>
    <w:lvlOverride w:ilvl="6">
      <w:lvl w:ilvl="6">
        <w:start w:val="1"/>
        <w:numFmt w:val="lowerRoman"/>
        <w:pStyle w:val="Titre7"/>
        <w:lvlText w:val="(%7)"/>
        <w:lvlJc w:val="left"/>
        <w:pPr>
          <w:ind w:left="4320" w:firstLine="0"/>
        </w:pPr>
        <w:rPr>
          <w:rFonts w:hint="default"/>
        </w:rPr>
      </w:lvl>
    </w:lvlOverride>
    <w:lvlOverride w:ilvl="7">
      <w:lvl w:ilvl="7">
        <w:start w:val="1"/>
        <w:numFmt w:val="lowerLetter"/>
        <w:pStyle w:val="Titre8"/>
        <w:lvlText w:val="(%8)"/>
        <w:lvlJc w:val="left"/>
        <w:pPr>
          <w:ind w:left="5040" w:firstLine="0"/>
        </w:pPr>
        <w:rPr>
          <w:rFonts w:hint="default"/>
        </w:rPr>
      </w:lvl>
    </w:lvlOverride>
    <w:lvlOverride w:ilvl="8">
      <w:lvl w:ilvl="8">
        <w:start w:val="1"/>
        <w:numFmt w:val="lowerRoman"/>
        <w:pStyle w:val="Titre9"/>
        <w:lvlText w:val="(%9)"/>
        <w:lvlJc w:val="left"/>
        <w:pPr>
          <w:ind w:left="5760" w:firstLine="0"/>
        </w:pPr>
        <w:rPr>
          <w:rFonts w:hint="default"/>
        </w:rPr>
      </w:lvl>
    </w:lvlOverride>
  </w:num>
  <w:num w:numId="9" w16cid:durableId="1900094843">
    <w:abstractNumId w:val="14"/>
    <w:lvlOverride w:ilvl="0">
      <w:startOverride w:val="1"/>
      <w:lvl w:ilvl="0">
        <w:start w:val="1"/>
        <w:numFmt w:val="upperLetter"/>
        <w:lvlText w:val="%1."/>
        <w:lvlJc w:val="left"/>
        <w:pPr>
          <w:ind w:left="0" w:firstLine="0"/>
        </w:pPr>
        <w:rPr>
          <w:rFonts w:ascii="Arial" w:hAnsi="Arial" w:hint="default"/>
          <w:b/>
          <w:i w:val="0"/>
          <w:color w:val="000000" w:themeColor="text1"/>
          <w:sz w:val="24"/>
        </w:rPr>
      </w:lvl>
    </w:lvlOverride>
    <w:lvlOverride w:ilvl="1">
      <w:startOverride w:va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startOverride w:val="1"/>
      <w:lvl w:ilvl="2">
        <w:start w:val="1"/>
        <w:numFmt w:val="decimal"/>
        <w:pStyle w:val="Titre3"/>
        <w:lvlText w:val="%2.%3."/>
        <w:lvlJc w:val="left"/>
        <w:pPr>
          <w:ind w:left="720" w:hanging="11"/>
        </w:pPr>
        <w:rPr>
          <w:rFonts w:ascii="Arial" w:hAnsi="Arial" w:hint="default"/>
          <w:b w:val="0"/>
          <w:i w:val="0"/>
          <w:color w:val="000000" w:themeColor="text1"/>
          <w:sz w:val="22"/>
        </w:rPr>
      </w:lvl>
    </w:lvlOverride>
    <w:lvlOverride w:ilvl="3">
      <w:startOverride w:val="1"/>
      <w:lvl w:ilvl="3">
        <w:start w:val="1"/>
        <w:numFmt w:val="lowerLetter"/>
        <w:pStyle w:val="Titre4"/>
        <w:lvlText w:val="%4)"/>
        <w:lvlJc w:val="left"/>
        <w:pPr>
          <w:ind w:left="2160" w:hanging="1026"/>
        </w:pPr>
        <w:rPr>
          <w:rFonts w:hint="default"/>
        </w:rPr>
      </w:lvl>
    </w:lvlOverride>
    <w:lvlOverride w:ilvl="4">
      <w:startOverride w:val="1"/>
      <w:lvl w:ilvl="4">
        <w:start w:val="1"/>
        <w:numFmt w:val="decimal"/>
        <w:pStyle w:val="Titre5"/>
        <w:lvlText w:val="(%5)"/>
        <w:lvlJc w:val="left"/>
        <w:pPr>
          <w:ind w:left="2880" w:firstLine="0"/>
        </w:pPr>
        <w:rPr>
          <w:rFonts w:hint="default"/>
        </w:rPr>
      </w:lvl>
    </w:lvlOverride>
    <w:lvlOverride w:ilvl="5">
      <w:startOverride w:val="1"/>
      <w:lvl w:ilvl="5">
        <w:start w:val="1"/>
        <w:numFmt w:val="lowerLetter"/>
        <w:pStyle w:val="Titre6"/>
        <w:lvlText w:val="(%6)"/>
        <w:lvlJc w:val="left"/>
        <w:pPr>
          <w:ind w:left="3600" w:firstLine="0"/>
        </w:pPr>
        <w:rPr>
          <w:rFonts w:hint="default"/>
        </w:rPr>
      </w:lvl>
    </w:lvlOverride>
    <w:lvlOverride w:ilvl="6">
      <w:startOverride w:val="1"/>
      <w:lvl w:ilvl="6">
        <w:start w:val="1"/>
        <w:numFmt w:val="lowerRoman"/>
        <w:pStyle w:val="Titre7"/>
        <w:lvlText w:val="(%7)"/>
        <w:lvlJc w:val="left"/>
        <w:pPr>
          <w:ind w:left="4320" w:firstLine="0"/>
        </w:pPr>
        <w:rPr>
          <w:rFonts w:hint="default"/>
        </w:rPr>
      </w:lvl>
    </w:lvlOverride>
    <w:lvlOverride w:ilvl="7">
      <w:startOverride w:val="1"/>
      <w:lvl w:ilvl="7">
        <w:start w:val="1"/>
        <w:numFmt w:val="lowerLetter"/>
        <w:pStyle w:val="Titre8"/>
        <w:lvlText w:val="(%8)"/>
        <w:lvlJc w:val="left"/>
        <w:pPr>
          <w:ind w:left="5040" w:firstLine="0"/>
        </w:pPr>
        <w:rPr>
          <w:rFonts w:hint="default"/>
        </w:rPr>
      </w:lvl>
    </w:lvlOverride>
    <w:lvlOverride w:ilvl="8">
      <w:startOverride w:val="1"/>
      <w:lvl w:ilvl="8">
        <w:start w:val="1"/>
        <w:numFmt w:val="lowerRoman"/>
        <w:pStyle w:val="Titre9"/>
        <w:lvlText w:val="(%9)"/>
        <w:lvlJc w:val="left"/>
        <w:pPr>
          <w:ind w:left="5760" w:firstLine="0"/>
        </w:pPr>
        <w:rPr>
          <w:rFonts w:hint="default"/>
        </w:rPr>
      </w:lvl>
    </w:lvlOverride>
  </w:num>
  <w:num w:numId="10" w16cid:durableId="26570260">
    <w:abstractNumId w:val="16"/>
  </w:num>
  <w:num w:numId="11" w16cid:durableId="1466200699">
    <w:abstractNumId w:val="22"/>
  </w:num>
  <w:num w:numId="12" w16cid:durableId="641420670">
    <w:abstractNumId w:val="31"/>
  </w:num>
  <w:num w:numId="13" w16cid:durableId="363748595">
    <w:abstractNumId w:val="19"/>
  </w:num>
  <w:num w:numId="14" w16cid:durableId="230308103">
    <w:abstractNumId w:val="32"/>
  </w:num>
  <w:num w:numId="15" w16cid:durableId="64231872">
    <w:abstractNumId w:val="25"/>
  </w:num>
  <w:num w:numId="16" w16cid:durableId="446850586">
    <w:abstractNumId w:val="29"/>
  </w:num>
  <w:num w:numId="17" w16cid:durableId="1007706927">
    <w:abstractNumId w:val="18"/>
  </w:num>
  <w:num w:numId="18" w16cid:durableId="1664359206">
    <w:abstractNumId w:val="0"/>
  </w:num>
  <w:num w:numId="19" w16cid:durableId="262812342">
    <w:abstractNumId w:val="1"/>
  </w:num>
  <w:num w:numId="20" w16cid:durableId="622612420">
    <w:abstractNumId w:val="2"/>
  </w:num>
  <w:num w:numId="21" w16cid:durableId="2102990883">
    <w:abstractNumId w:val="3"/>
  </w:num>
  <w:num w:numId="22" w16cid:durableId="920214795">
    <w:abstractNumId w:val="4"/>
  </w:num>
  <w:num w:numId="23" w16cid:durableId="213851888">
    <w:abstractNumId w:val="9"/>
  </w:num>
  <w:num w:numId="24" w16cid:durableId="1492259797">
    <w:abstractNumId w:val="5"/>
  </w:num>
  <w:num w:numId="25" w16cid:durableId="225727537">
    <w:abstractNumId w:val="6"/>
  </w:num>
  <w:num w:numId="26" w16cid:durableId="2094622226">
    <w:abstractNumId w:val="7"/>
  </w:num>
  <w:num w:numId="27" w16cid:durableId="780995808">
    <w:abstractNumId w:val="8"/>
  </w:num>
  <w:num w:numId="28" w16cid:durableId="495997363">
    <w:abstractNumId w:val="10"/>
  </w:num>
  <w:num w:numId="29" w16cid:durableId="1371686456">
    <w:abstractNumId w:val="26"/>
  </w:num>
  <w:num w:numId="30" w16cid:durableId="1629553895">
    <w:abstractNumId w:val="27"/>
  </w:num>
  <w:num w:numId="31" w16cid:durableId="43144923">
    <w:abstractNumId w:val="13"/>
  </w:num>
  <w:num w:numId="32" w16cid:durableId="1756394513">
    <w:abstractNumId w:val="30"/>
  </w:num>
  <w:num w:numId="33" w16cid:durableId="1126434849">
    <w:abstractNumId w:val="24"/>
  </w:num>
  <w:num w:numId="34" w16cid:durableId="1585726341">
    <w:abstractNumId w:val="20"/>
  </w:num>
  <w:num w:numId="35" w16cid:durableId="2007123949">
    <w:abstractNumId w:val="15"/>
  </w:num>
  <w:num w:numId="36" w16cid:durableId="510679258">
    <w:abstractNumId w:val="23"/>
  </w:num>
  <w:num w:numId="37" w16cid:durableId="1483621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99508102">
    <w:abstractNumId w:val="17"/>
  </w:num>
  <w:num w:numId="39" w16cid:durableId="1900432302">
    <w:abstractNumId w:val="28"/>
  </w:num>
  <w:num w:numId="40" w16cid:durableId="873157637">
    <w:abstractNumId w:val="11"/>
  </w:num>
  <w:num w:numId="41" w16cid:durableId="20455920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7C"/>
    <w:rsid w:val="00151684"/>
    <w:rsid w:val="002A7551"/>
    <w:rsid w:val="002E23C5"/>
    <w:rsid w:val="002F080C"/>
    <w:rsid w:val="00322507"/>
    <w:rsid w:val="004561D1"/>
    <w:rsid w:val="004F144F"/>
    <w:rsid w:val="005362CF"/>
    <w:rsid w:val="005639D6"/>
    <w:rsid w:val="00582A63"/>
    <w:rsid w:val="00587429"/>
    <w:rsid w:val="005A1F81"/>
    <w:rsid w:val="005E6C1B"/>
    <w:rsid w:val="00631930"/>
    <w:rsid w:val="00633B35"/>
    <w:rsid w:val="00645E40"/>
    <w:rsid w:val="006970D3"/>
    <w:rsid w:val="006D6029"/>
    <w:rsid w:val="007B47AB"/>
    <w:rsid w:val="008A6F84"/>
    <w:rsid w:val="00923C7F"/>
    <w:rsid w:val="00A5602E"/>
    <w:rsid w:val="00A86E70"/>
    <w:rsid w:val="00B079F7"/>
    <w:rsid w:val="00B07A19"/>
    <w:rsid w:val="00BF30BB"/>
    <w:rsid w:val="00C5588C"/>
    <w:rsid w:val="00D208D4"/>
    <w:rsid w:val="00D457CB"/>
    <w:rsid w:val="00D76674"/>
    <w:rsid w:val="00D773E7"/>
    <w:rsid w:val="00D91933"/>
    <w:rsid w:val="00E2302C"/>
    <w:rsid w:val="00E461D1"/>
    <w:rsid w:val="00F429F2"/>
    <w:rsid w:val="00F80E81"/>
    <w:rsid w:val="00FA1A7C"/>
    <w:rsid w:val="00FA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A92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7C"/>
    <w:pPr>
      <w:spacing w:before="120" w:after="240"/>
      <w:jc w:val="both"/>
    </w:pPr>
    <w:rPr>
      <w:rFonts w:ascii="Arial" w:eastAsiaTheme="minorEastAsia" w:hAnsi="Arial"/>
      <w:color w:val="808080" w:themeColor="background1" w:themeShade="80"/>
      <w:sz w:val="22"/>
      <w:lang w:eastAsia="ja-JP"/>
    </w:rPr>
  </w:style>
  <w:style w:type="paragraph" w:styleId="Titre1">
    <w:name w:val="heading 1"/>
    <w:basedOn w:val="Normal"/>
    <w:next w:val="Normal"/>
    <w:link w:val="Titre1Car"/>
    <w:uiPriority w:val="9"/>
    <w:qFormat/>
    <w:rsid w:val="00631930"/>
    <w:pPr>
      <w:keepNext/>
      <w:keepLines/>
      <w:numPr>
        <w:numId w:val="31"/>
      </w:numPr>
      <w:outlineLvl w:val="0"/>
    </w:pPr>
    <w:rPr>
      <w:rFonts w:eastAsiaTheme="majorEastAsia" w:cstheme="majorBidi"/>
      <w:b/>
      <w:color w:val="000000" w:themeColor="text1"/>
      <w:sz w:val="24"/>
      <w:szCs w:val="32"/>
      <w:lang w:eastAsia="en-US"/>
    </w:rPr>
  </w:style>
  <w:style w:type="paragraph" w:styleId="Titre2">
    <w:name w:val="heading 2"/>
    <w:basedOn w:val="Normal"/>
    <w:next w:val="Normal"/>
    <w:link w:val="Titre2Car"/>
    <w:uiPriority w:val="9"/>
    <w:unhideWhenUsed/>
    <w:qFormat/>
    <w:rsid w:val="00631930"/>
    <w:pPr>
      <w:keepNext/>
      <w:keepLines/>
      <w:numPr>
        <w:ilvl w:val="1"/>
        <w:numId w:val="7"/>
      </w:numPr>
      <w:ind w:left="720" w:hanging="720"/>
      <w:outlineLvl w:val="1"/>
    </w:pPr>
    <w:rPr>
      <w:rFonts w:eastAsiaTheme="majorEastAsia" w:cstheme="majorBidi"/>
      <w:b/>
      <w:color w:val="000000" w:themeColor="text1"/>
      <w:szCs w:val="26"/>
      <w:lang w:eastAsia="en-US"/>
    </w:rPr>
  </w:style>
  <w:style w:type="paragraph" w:styleId="Titre3">
    <w:name w:val="heading 3"/>
    <w:basedOn w:val="Normal"/>
    <w:next w:val="Normal"/>
    <w:link w:val="Titre3Car"/>
    <w:uiPriority w:val="9"/>
    <w:unhideWhenUsed/>
    <w:qFormat/>
    <w:rsid w:val="005362CF"/>
    <w:pPr>
      <w:keepNext/>
      <w:keepLines/>
      <w:numPr>
        <w:ilvl w:val="2"/>
        <w:numId w:val="7"/>
      </w:numPr>
      <w:ind w:left="1440" w:hanging="1440"/>
      <w:outlineLvl w:val="2"/>
    </w:pPr>
    <w:rPr>
      <w:rFonts w:eastAsiaTheme="majorEastAsia" w:cstheme="majorBidi"/>
      <w:color w:val="000000" w:themeColor="text1"/>
    </w:rPr>
  </w:style>
  <w:style w:type="paragraph" w:styleId="Titre4">
    <w:name w:val="heading 4"/>
    <w:basedOn w:val="Normal"/>
    <w:next w:val="Normal"/>
    <w:link w:val="Titre4Car"/>
    <w:uiPriority w:val="9"/>
    <w:semiHidden/>
    <w:unhideWhenUsed/>
    <w:qFormat/>
    <w:rsid w:val="002A7551"/>
    <w:pPr>
      <w:keepNext/>
      <w:keepLines/>
      <w:numPr>
        <w:ilvl w:val="3"/>
        <w:numId w:val="7"/>
      </w:numPr>
      <w:spacing w:before="40" w:after="0"/>
      <w:ind w:left="2160" w:hanging="1026"/>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A7551"/>
    <w:pPr>
      <w:keepNext/>
      <w:keepLines/>
      <w:numPr>
        <w:ilvl w:val="4"/>
        <w:numId w:val="7"/>
      </w:numPr>
      <w:spacing w:before="40" w:after="0"/>
      <w:ind w:left="2880" w:firstLine="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A7551"/>
    <w:pPr>
      <w:keepNext/>
      <w:keepLines/>
      <w:numPr>
        <w:ilvl w:val="5"/>
        <w:numId w:val="7"/>
      </w:numPr>
      <w:spacing w:before="40" w:after="0"/>
      <w:ind w:left="3600" w:firstLine="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A7551"/>
    <w:pPr>
      <w:keepNext/>
      <w:keepLines/>
      <w:numPr>
        <w:ilvl w:val="6"/>
        <w:numId w:val="7"/>
      </w:numPr>
      <w:spacing w:before="40" w:after="0"/>
      <w:ind w:left="4320" w:firstLine="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A7551"/>
    <w:pPr>
      <w:keepNext/>
      <w:keepLines/>
      <w:numPr>
        <w:ilvl w:val="7"/>
        <w:numId w:val="7"/>
      </w:numPr>
      <w:spacing w:before="40" w:after="0"/>
      <w:ind w:left="5040" w:firstLine="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A7551"/>
    <w:pPr>
      <w:keepNext/>
      <w:keepLines/>
      <w:numPr>
        <w:ilvl w:val="8"/>
        <w:numId w:val="7"/>
      </w:numPr>
      <w:spacing w:before="40" w:after="0"/>
      <w:ind w:left="5760" w:firstLine="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1A7C"/>
    <w:rPr>
      <w:rFonts w:ascii="Arial" w:eastAsiaTheme="majorEastAsia" w:hAnsi="Arial" w:cstheme="majorBidi"/>
      <w:b/>
      <w:color w:val="000000" w:themeColor="text1"/>
      <w:szCs w:val="32"/>
    </w:rPr>
  </w:style>
  <w:style w:type="paragraph" w:styleId="Explorateurdedocuments">
    <w:name w:val="Document Map"/>
    <w:basedOn w:val="Normal"/>
    <w:link w:val="ExplorateurdedocumentsCar"/>
    <w:uiPriority w:val="99"/>
    <w:semiHidden/>
    <w:unhideWhenUsed/>
    <w:rsid w:val="00FA1A7C"/>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FA1A7C"/>
    <w:rPr>
      <w:rFonts w:ascii="Times New Roman" w:hAnsi="Times New Roman" w:cs="Times New Roman"/>
    </w:rPr>
  </w:style>
  <w:style w:type="character" w:customStyle="1" w:styleId="Titre2Car">
    <w:name w:val="Titre 2 Car"/>
    <w:basedOn w:val="Policepardfaut"/>
    <w:link w:val="Titre2"/>
    <w:uiPriority w:val="9"/>
    <w:rsid w:val="00631930"/>
    <w:rPr>
      <w:rFonts w:ascii="Arial" w:eastAsiaTheme="majorEastAsia" w:hAnsi="Arial" w:cstheme="majorBidi"/>
      <w:b/>
      <w:color w:val="000000" w:themeColor="text1"/>
      <w:sz w:val="22"/>
      <w:szCs w:val="26"/>
    </w:rPr>
  </w:style>
  <w:style w:type="character" w:customStyle="1" w:styleId="Titre3Car">
    <w:name w:val="Titre 3 Car"/>
    <w:basedOn w:val="Policepardfaut"/>
    <w:link w:val="Titre3"/>
    <w:uiPriority w:val="9"/>
    <w:rsid w:val="005362CF"/>
    <w:rPr>
      <w:rFonts w:ascii="Arial" w:eastAsiaTheme="majorEastAsia" w:hAnsi="Arial" w:cstheme="majorBidi"/>
      <w:color w:val="000000" w:themeColor="text1"/>
      <w:sz w:val="22"/>
      <w:lang w:eastAsia="ja-JP"/>
    </w:rPr>
  </w:style>
  <w:style w:type="paragraph" w:styleId="En-tte">
    <w:name w:val="header"/>
    <w:basedOn w:val="Normal"/>
    <w:link w:val="En-tteCar"/>
    <w:uiPriority w:val="99"/>
    <w:unhideWhenUsed/>
    <w:qFormat/>
    <w:rsid w:val="00FA1A7C"/>
    <w:pPr>
      <w:spacing w:after="120"/>
    </w:pPr>
    <w:rPr>
      <w:b/>
      <w:bCs/>
      <w:color w:val="303A3F"/>
    </w:rPr>
  </w:style>
  <w:style w:type="character" w:customStyle="1" w:styleId="En-tteCar">
    <w:name w:val="En-tête Car"/>
    <w:basedOn w:val="Policepardfaut"/>
    <w:link w:val="En-tte"/>
    <w:uiPriority w:val="99"/>
    <w:rsid w:val="00FA1A7C"/>
    <w:rPr>
      <w:rFonts w:ascii="Arial" w:eastAsiaTheme="minorEastAsia" w:hAnsi="Arial"/>
      <w:b/>
      <w:bCs/>
      <w:color w:val="303A3F"/>
      <w:sz w:val="22"/>
      <w:lang w:eastAsia="ja-JP"/>
    </w:rPr>
  </w:style>
  <w:style w:type="paragraph" w:styleId="Pieddepage">
    <w:name w:val="footer"/>
    <w:basedOn w:val="Normal"/>
    <w:link w:val="PieddepageCar"/>
    <w:uiPriority w:val="99"/>
    <w:unhideWhenUsed/>
    <w:qFormat/>
    <w:rsid w:val="004F144F"/>
    <w:pPr>
      <w:tabs>
        <w:tab w:val="center" w:pos="4536"/>
        <w:tab w:val="right" w:pos="9781"/>
      </w:tabs>
    </w:pPr>
    <w:rPr>
      <w:sz w:val="18"/>
    </w:rPr>
  </w:style>
  <w:style w:type="character" w:customStyle="1" w:styleId="PieddepageCar">
    <w:name w:val="Pied de page Car"/>
    <w:basedOn w:val="Policepardfaut"/>
    <w:link w:val="Pieddepage"/>
    <w:uiPriority w:val="99"/>
    <w:rsid w:val="004F144F"/>
    <w:rPr>
      <w:rFonts w:ascii="Arial" w:eastAsiaTheme="minorEastAsia" w:hAnsi="Arial"/>
      <w:color w:val="808080" w:themeColor="background1" w:themeShade="80"/>
      <w:sz w:val="18"/>
      <w:lang w:eastAsia="ja-JP"/>
    </w:rPr>
  </w:style>
  <w:style w:type="character" w:styleId="Numrodepage">
    <w:name w:val="page number"/>
    <w:basedOn w:val="Policepardfaut"/>
    <w:uiPriority w:val="99"/>
    <w:semiHidden/>
    <w:unhideWhenUsed/>
    <w:rsid w:val="00FA1A7C"/>
  </w:style>
  <w:style w:type="paragraph" w:customStyle="1" w:styleId="SignatureKlima-Agence">
    <w:name w:val="Signature Klima-Agence"/>
    <w:basedOn w:val="Normal"/>
    <w:qFormat/>
    <w:rsid w:val="00322507"/>
    <w:rPr>
      <w:b/>
      <w:color w:val="44546A" w:themeColor="text2"/>
      <w:sz w:val="28"/>
    </w:rPr>
  </w:style>
  <w:style w:type="table" w:styleId="Grilledutableau">
    <w:name w:val="Table Grid"/>
    <w:basedOn w:val="TableauNormal"/>
    <w:uiPriority w:val="39"/>
    <w:rsid w:val="00FA1A7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BF30BB"/>
    <w:pPr>
      <w:outlineLvl w:val="0"/>
    </w:pPr>
    <w:rPr>
      <w:b/>
      <w:color w:val="44546A" w:themeColor="text2"/>
      <w:sz w:val="48"/>
      <w:szCs w:val="48"/>
      <w:lang w:val="fr-FR"/>
    </w:rPr>
  </w:style>
  <w:style w:type="character" w:customStyle="1" w:styleId="TitreCar">
    <w:name w:val="Titre Car"/>
    <w:basedOn w:val="Policepardfaut"/>
    <w:link w:val="Titre"/>
    <w:uiPriority w:val="10"/>
    <w:rsid w:val="00BF30BB"/>
    <w:rPr>
      <w:rFonts w:ascii="Arial" w:eastAsiaTheme="minorEastAsia" w:hAnsi="Arial"/>
      <w:b/>
      <w:color w:val="44546A" w:themeColor="text2"/>
      <w:sz w:val="48"/>
      <w:szCs w:val="48"/>
      <w:lang w:val="fr-FR" w:eastAsia="ja-JP"/>
    </w:rPr>
  </w:style>
  <w:style w:type="paragraph" w:styleId="En-ttedetabledesmatires">
    <w:name w:val="TOC Heading"/>
    <w:basedOn w:val="Titre1"/>
    <w:next w:val="Normal"/>
    <w:uiPriority w:val="39"/>
    <w:unhideWhenUsed/>
    <w:qFormat/>
    <w:rsid w:val="00FA7033"/>
    <w:pPr>
      <w:numPr>
        <w:numId w:val="0"/>
      </w:numPr>
      <w:spacing w:before="480" w:after="0" w:line="276" w:lineRule="auto"/>
      <w:jc w:val="left"/>
      <w:outlineLvl w:val="9"/>
    </w:pPr>
    <w:rPr>
      <w:bCs/>
      <w:sz w:val="28"/>
      <w:szCs w:val="28"/>
    </w:rPr>
  </w:style>
  <w:style w:type="paragraph" w:styleId="TM1">
    <w:name w:val="toc 1"/>
    <w:basedOn w:val="Normal"/>
    <w:next w:val="Normal"/>
    <w:autoRedefine/>
    <w:uiPriority w:val="39"/>
    <w:unhideWhenUsed/>
    <w:rsid w:val="002A7551"/>
    <w:pPr>
      <w:numPr>
        <w:numId w:val="15"/>
      </w:numPr>
      <w:spacing w:after="120"/>
      <w:jc w:val="left"/>
    </w:pPr>
    <w:rPr>
      <w:b/>
      <w:color w:val="000000" w:themeColor="text1"/>
      <w:sz w:val="24"/>
      <w:szCs w:val="22"/>
    </w:rPr>
  </w:style>
  <w:style w:type="paragraph" w:styleId="TM2">
    <w:name w:val="toc 2"/>
    <w:basedOn w:val="Normal"/>
    <w:next w:val="Normal"/>
    <w:autoRedefine/>
    <w:uiPriority w:val="39"/>
    <w:unhideWhenUsed/>
    <w:qFormat/>
    <w:rsid w:val="00582A63"/>
    <w:pPr>
      <w:numPr>
        <w:numId w:val="29"/>
      </w:numPr>
      <w:tabs>
        <w:tab w:val="left" w:pos="660"/>
        <w:tab w:val="right" w:pos="9771"/>
      </w:tabs>
      <w:spacing w:after="120"/>
      <w:jc w:val="left"/>
    </w:pPr>
    <w:rPr>
      <w:b/>
      <w:color w:val="000000" w:themeColor="text1"/>
      <w:szCs w:val="22"/>
    </w:rPr>
  </w:style>
  <w:style w:type="character" w:styleId="Lienhypertexte">
    <w:name w:val="Hyperlink"/>
    <w:basedOn w:val="Policepardfaut"/>
    <w:uiPriority w:val="99"/>
    <w:unhideWhenUsed/>
    <w:rsid w:val="00D76674"/>
    <w:rPr>
      <w:color w:val="0563C1" w:themeColor="hyperlink"/>
      <w:u w:val="single"/>
    </w:rPr>
  </w:style>
  <w:style w:type="paragraph" w:styleId="TM3">
    <w:name w:val="toc 3"/>
    <w:basedOn w:val="Normal"/>
    <w:next w:val="Normal"/>
    <w:autoRedefine/>
    <w:uiPriority w:val="39"/>
    <w:unhideWhenUsed/>
    <w:rsid w:val="004561D1"/>
    <w:pPr>
      <w:tabs>
        <w:tab w:val="left" w:pos="709"/>
        <w:tab w:val="left" w:pos="1100"/>
        <w:tab w:val="right" w:pos="9771"/>
      </w:tabs>
      <w:spacing w:after="120"/>
      <w:ind w:left="442"/>
      <w:jc w:val="left"/>
    </w:pPr>
    <w:rPr>
      <w:color w:val="000000" w:themeColor="text1"/>
      <w:szCs w:val="22"/>
    </w:rPr>
  </w:style>
  <w:style w:type="paragraph" w:styleId="TM4">
    <w:name w:val="toc 4"/>
    <w:basedOn w:val="Normal"/>
    <w:next w:val="Normal"/>
    <w:autoRedefine/>
    <w:uiPriority w:val="39"/>
    <w:semiHidden/>
    <w:unhideWhenUsed/>
    <w:rsid w:val="00D76674"/>
    <w:pPr>
      <w:spacing w:before="0" w:after="0"/>
      <w:ind w:left="660"/>
      <w:jc w:val="left"/>
    </w:pPr>
    <w:rPr>
      <w:rFonts w:asciiTheme="minorHAnsi" w:hAnsiTheme="minorHAnsi"/>
      <w:sz w:val="20"/>
      <w:szCs w:val="20"/>
    </w:rPr>
  </w:style>
  <w:style w:type="paragraph" w:styleId="TM5">
    <w:name w:val="toc 5"/>
    <w:basedOn w:val="Normal"/>
    <w:next w:val="Normal"/>
    <w:autoRedefine/>
    <w:uiPriority w:val="39"/>
    <w:semiHidden/>
    <w:unhideWhenUsed/>
    <w:rsid w:val="00D76674"/>
    <w:pPr>
      <w:spacing w:before="0" w:after="0"/>
      <w:ind w:left="880"/>
      <w:jc w:val="left"/>
    </w:pPr>
    <w:rPr>
      <w:rFonts w:asciiTheme="minorHAnsi" w:hAnsiTheme="minorHAnsi"/>
      <w:sz w:val="20"/>
      <w:szCs w:val="20"/>
    </w:rPr>
  </w:style>
  <w:style w:type="paragraph" w:styleId="TM6">
    <w:name w:val="toc 6"/>
    <w:basedOn w:val="Normal"/>
    <w:next w:val="Normal"/>
    <w:autoRedefine/>
    <w:uiPriority w:val="39"/>
    <w:semiHidden/>
    <w:unhideWhenUsed/>
    <w:rsid w:val="00D76674"/>
    <w:pPr>
      <w:spacing w:before="0" w:after="0"/>
      <w:ind w:left="1100"/>
      <w:jc w:val="left"/>
    </w:pPr>
    <w:rPr>
      <w:rFonts w:asciiTheme="minorHAnsi" w:hAnsiTheme="minorHAnsi"/>
      <w:sz w:val="20"/>
      <w:szCs w:val="20"/>
    </w:rPr>
  </w:style>
  <w:style w:type="paragraph" w:styleId="TM7">
    <w:name w:val="toc 7"/>
    <w:basedOn w:val="Normal"/>
    <w:next w:val="Normal"/>
    <w:autoRedefine/>
    <w:uiPriority w:val="39"/>
    <w:semiHidden/>
    <w:unhideWhenUsed/>
    <w:rsid w:val="00D76674"/>
    <w:pPr>
      <w:spacing w:before="0" w:after="0"/>
      <w:ind w:left="1320"/>
      <w:jc w:val="left"/>
    </w:pPr>
    <w:rPr>
      <w:rFonts w:asciiTheme="minorHAnsi" w:hAnsiTheme="minorHAnsi"/>
      <w:sz w:val="20"/>
      <w:szCs w:val="20"/>
    </w:rPr>
  </w:style>
  <w:style w:type="paragraph" w:styleId="TM8">
    <w:name w:val="toc 8"/>
    <w:basedOn w:val="Normal"/>
    <w:next w:val="Normal"/>
    <w:autoRedefine/>
    <w:uiPriority w:val="39"/>
    <w:semiHidden/>
    <w:unhideWhenUsed/>
    <w:rsid w:val="00D76674"/>
    <w:pPr>
      <w:spacing w:before="0" w:after="0"/>
      <w:ind w:left="1540"/>
      <w:jc w:val="left"/>
    </w:pPr>
    <w:rPr>
      <w:rFonts w:asciiTheme="minorHAnsi" w:hAnsiTheme="minorHAnsi"/>
      <w:sz w:val="20"/>
      <w:szCs w:val="20"/>
    </w:rPr>
  </w:style>
  <w:style w:type="paragraph" w:styleId="TM9">
    <w:name w:val="toc 9"/>
    <w:basedOn w:val="Normal"/>
    <w:next w:val="Normal"/>
    <w:autoRedefine/>
    <w:uiPriority w:val="39"/>
    <w:semiHidden/>
    <w:unhideWhenUsed/>
    <w:rsid w:val="00D76674"/>
    <w:pPr>
      <w:spacing w:before="0" w:after="0"/>
      <w:ind w:left="1760"/>
      <w:jc w:val="left"/>
    </w:pPr>
    <w:rPr>
      <w:rFonts w:asciiTheme="minorHAnsi" w:hAnsiTheme="minorHAnsi"/>
      <w:sz w:val="20"/>
      <w:szCs w:val="20"/>
    </w:rPr>
  </w:style>
  <w:style w:type="numbering" w:customStyle="1" w:styleId="myenergy">
    <w:name w:val="myenergy"/>
    <w:uiPriority w:val="99"/>
    <w:rsid w:val="00D91933"/>
    <w:pPr>
      <w:numPr>
        <w:numId w:val="10"/>
      </w:numPr>
    </w:pPr>
  </w:style>
  <w:style w:type="paragraph" w:customStyle="1" w:styleId="Titretableau">
    <w:name w:val="Titre tableau"/>
    <w:basedOn w:val="Normal"/>
    <w:qFormat/>
    <w:rsid w:val="00D773E7"/>
    <w:pPr>
      <w:keepNext/>
    </w:pPr>
    <w:rPr>
      <w:b/>
      <w:color w:val="000000" w:themeColor="text1"/>
      <w:sz w:val="24"/>
    </w:rPr>
  </w:style>
  <w:style w:type="character" w:customStyle="1" w:styleId="Titre4Car">
    <w:name w:val="Titre 4 Car"/>
    <w:basedOn w:val="Policepardfaut"/>
    <w:link w:val="Titre4"/>
    <w:uiPriority w:val="9"/>
    <w:semiHidden/>
    <w:rsid w:val="002A7551"/>
    <w:rPr>
      <w:rFonts w:asciiTheme="majorHAnsi" w:eastAsiaTheme="majorEastAsia" w:hAnsiTheme="majorHAnsi" w:cstheme="majorBidi"/>
      <w:i/>
      <w:iCs/>
      <w:color w:val="2E74B5" w:themeColor="accent1" w:themeShade="BF"/>
      <w:sz w:val="22"/>
      <w:lang w:eastAsia="ja-JP"/>
    </w:rPr>
  </w:style>
  <w:style w:type="character" w:customStyle="1" w:styleId="Titre5Car">
    <w:name w:val="Titre 5 Car"/>
    <w:basedOn w:val="Policepardfaut"/>
    <w:link w:val="Titre5"/>
    <w:uiPriority w:val="9"/>
    <w:semiHidden/>
    <w:rsid w:val="002A7551"/>
    <w:rPr>
      <w:rFonts w:asciiTheme="majorHAnsi" w:eastAsiaTheme="majorEastAsia" w:hAnsiTheme="majorHAnsi" w:cstheme="majorBidi"/>
      <w:color w:val="2E74B5" w:themeColor="accent1" w:themeShade="BF"/>
      <w:sz w:val="22"/>
      <w:lang w:eastAsia="ja-JP"/>
    </w:rPr>
  </w:style>
  <w:style w:type="character" w:customStyle="1" w:styleId="Titre6Car">
    <w:name w:val="Titre 6 Car"/>
    <w:basedOn w:val="Policepardfaut"/>
    <w:link w:val="Titre6"/>
    <w:uiPriority w:val="9"/>
    <w:semiHidden/>
    <w:rsid w:val="002A7551"/>
    <w:rPr>
      <w:rFonts w:asciiTheme="majorHAnsi" w:eastAsiaTheme="majorEastAsia" w:hAnsiTheme="majorHAnsi" w:cstheme="majorBidi"/>
      <w:color w:val="1F4D78" w:themeColor="accent1" w:themeShade="7F"/>
      <w:sz w:val="22"/>
      <w:lang w:eastAsia="ja-JP"/>
    </w:rPr>
  </w:style>
  <w:style w:type="character" w:customStyle="1" w:styleId="Titre7Car">
    <w:name w:val="Titre 7 Car"/>
    <w:basedOn w:val="Policepardfaut"/>
    <w:link w:val="Titre7"/>
    <w:uiPriority w:val="9"/>
    <w:semiHidden/>
    <w:rsid w:val="002A7551"/>
    <w:rPr>
      <w:rFonts w:asciiTheme="majorHAnsi" w:eastAsiaTheme="majorEastAsia" w:hAnsiTheme="majorHAnsi" w:cstheme="majorBidi"/>
      <w:i/>
      <w:iCs/>
      <w:color w:val="1F4D78" w:themeColor="accent1" w:themeShade="7F"/>
      <w:sz w:val="22"/>
      <w:lang w:eastAsia="ja-JP"/>
    </w:rPr>
  </w:style>
  <w:style w:type="character" w:customStyle="1" w:styleId="Titre8Car">
    <w:name w:val="Titre 8 Car"/>
    <w:basedOn w:val="Policepardfaut"/>
    <w:link w:val="Titre8"/>
    <w:uiPriority w:val="9"/>
    <w:semiHidden/>
    <w:rsid w:val="002A7551"/>
    <w:rPr>
      <w:rFonts w:asciiTheme="majorHAnsi" w:eastAsiaTheme="majorEastAsia" w:hAnsiTheme="majorHAnsi" w:cstheme="majorBidi"/>
      <w:color w:val="272727" w:themeColor="text1" w:themeTint="D8"/>
      <w:sz w:val="21"/>
      <w:szCs w:val="21"/>
      <w:lang w:eastAsia="ja-JP"/>
    </w:rPr>
  </w:style>
  <w:style w:type="character" w:customStyle="1" w:styleId="Titre9Car">
    <w:name w:val="Titre 9 Car"/>
    <w:basedOn w:val="Policepardfaut"/>
    <w:link w:val="Titre9"/>
    <w:uiPriority w:val="9"/>
    <w:semiHidden/>
    <w:rsid w:val="002A7551"/>
    <w:rPr>
      <w:rFonts w:asciiTheme="majorHAnsi" w:eastAsiaTheme="majorEastAsia" w:hAnsiTheme="majorHAnsi" w:cstheme="majorBidi"/>
      <w:i/>
      <w:iCs/>
      <w:color w:val="272727" w:themeColor="text1" w:themeTint="D8"/>
      <w:sz w:val="21"/>
      <w:szCs w:val="21"/>
      <w:lang w:eastAsia="ja-JP"/>
    </w:rPr>
  </w:style>
  <w:style w:type="paragraph" w:styleId="Liste">
    <w:name w:val="List"/>
    <w:basedOn w:val="Normal"/>
    <w:uiPriority w:val="99"/>
    <w:unhideWhenUsed/>
    <w:qFormat/>
    <w:rsid w:val="00587429"/>
    <w:pPr>
      <w:ind w:left="284" w:hanging="284"/>
      <w:contextualSpacing/>
    </w:pPr>
  </w:style>
  <w:style w:type="numbering" w:styleId="111111">
    <w:name w:val="Outline List 2"/>
    <w:basedOn w:val="Aucuneliste"/>
    <w:uiPriority w:val="99"/>
    <w:semiHidden/>
    <w:unhideWhenUsed/>
    <w:rsid w:val="00FA7033"/>
    <w:pPr>
      <w:numPr>
        <w:numId w:val="12"/>
      </w:numPr>
    </w:pPr>
  </w:style>
  <w:style w:type="paragraph" w:styleId="NormalWeb">
    <w:name w:val="Normal (Web)"/>
    <w:basedOn w:val="Normal"/>
    <w:uiPriority w:val="99"/>
    <w:unhideWhenUsed/>
    <w:rsid w:val="00B07A19"/>
    <w:pPr>
      <w:spacing w:before="100" w:beforeAutospacing="1" w:after="100" w:afterAutospacing="1"/>
      <w:jc w:val="left"/>
    </w:pPr>
    <w:rPr>
      <w:rFonts w:ascii="Times New Roman" w:eastAsia="Times New Roman" w:hAnsi="Times New Roman" w:cs="Times New Roman"/>
      <w:color w:val="auto"/>
      <w:sz w:val="24"/>
      <w:lang w:val="fr-BE" w:eastAsia="fr-BE"/>
    </w:rPr>
  </w:style>
  <w:style w:type="paragraph" w:styleId="Notedebasdepage">
    <w:name w:val="footnote text"/>
    <w:basedOn w:val="Normal"/>
    <w:link w:val="NotedebasdepageCar"/>
    <w:uiPriority w:val="99"/>
    <w:semiHidden/>
    <w:unhideWhenUsed/>
    <w:rsid w:val="00B07A19"/>
    <w:pPr>
      <w:spacing w:before="0" w:after="0"/>
      <w:jc w:val="left"/>
    </w:pPr>
    <w:rPr>
      <w:rFonts w:asciiTheme="minorHAnsi" w:eastAsiaTheme="minorHAnsi" w:hAnsiTheme="minorHAnsi"/>
      <w:color w:val="auto"/>
      <w:sz w:val="20"/>
      <w:szCs w:val="20"/>
      <w:lang w:val="fr-BE" w:eastAsia="en-US"/>
    </w:rPr>
  </w:style>
  <w:style w:type="character" w:customStyle="1" w:styleId="NotedebasdepageCar">
    <w:name w:val="Note de bas de page Car"/>
    <w:basedOn w:val="Policepardfaut"/>
    <w:link w:val="Notedebasdepage"/>
    <w:uiPriority w:val="99"/>
    <w:semiHidden/>
    <w:rsid w:val="00B07A19"/>
    <w:rPr>
      <w:sz w:val="20"/>
      <w:szCs w:val="20"/>
      <w:lang w:val="fr-BE"/>
    </w:rPr>
  </w:style>
  <w:style w:type="character" w:styleId="Appelnotedebasdep">
    <w:name w:val="footnote reference"/>
    <w:basedOn w:val="Policepardfaut"/>
    <w:uiPriority w:val="99"/>
    <w:semiHidden/>
    <w:unhideWhenUsed/>
    <w:rsid w:val="00B07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377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DB1F27-5410-4FAF-9643-1945961E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963</Words>
  <Characters>5297</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Headings</vt:lpstr>
      </vt:variant>
      <vt:variant>
        <vt:i4>6</vt:i4>
      </vt:variant>
    </vt:vector>
  </HeadingPairs>
  <TitlesOfParts>
    <vt:vector size="8" baseType="lpstr">
      <vt:lpstr/>
      <vt:lpstr/>
      <vt:lpstr>Titre Arial 24pt - noir</vt:lpstr>
      <vt:lpstr>Titre 1 – titre arial 12pt bold - noir</vt:lpstr>
      <vt:lpstr>    Titre 2 – arial 11pt bold – noir</vt:lpstr>
      <vt:lpstr>    Titre 2 – arial 11pt bold – noir</vt:lpstr>
      <vt:lpstr>        1.1.1. Titre 3 – arial 11pt - noir</vt:lpstr>
      <vt:lpstr>Titre 1 – arial 12pt bold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Isabelle Schoor</cp:lastModifiedBy>
  <cp:revision>4</cp:revision>
  <cp:lastPrinted>2016-02-22T06:50:00Z</cp:lastPrinted>
  <dcterms:created xsi:type="dcterms:W3CDTF">2022-05-02T09:20:00Z</dcterms:created>
  <dcterms:modified xsi:type="dcterms:W3CDTF">2022-05-02T09:29:00Z</dcterms:modified>
</cp:coreProperties>
</file>